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color w:val="000000"/>
          <w:sz w:val="23"/>
          <w:szCs w:val="23"/>
        </w:rPr>
      </w:pPr>
      <w:r>
        <w:rPr>
          <w:rFonts w:hint="eastAsia"/>
          <w:color w:val="000000"/>
          <w:sz w:val="23"/>
          <w:szCs w:val="23"/>
        </w:rPr>
        <w:t xml:space="preserve"> </w:t>
      </w:r>
    </w:p>
    <w:p>
      <w:pPr>
        <w:tabs>
          <w:tab w:val="left" w:pos="360"/>
        </w:tabs>
        <w:rPr>
          <w:color w:val="000000"/>
          <w:sz w:val="23"/>
          <w:szCs w:val="23"/>
        </w:rPr>
      </w:pPr>
      <w:r>
        <w:rPr>
          <w:color w:val="000000"/>
          <w:sz w:val="23"/>
          <w:szCs w:val="23"/>
        </w:rPr>
        <w:tab/>
      </w:r>
    </w:p>
    <w:p>
      <w:pPr>
        <w:tabs>
          <w:tab w:val="left" w:pos="360"/>
        </w:tabs>
        <w:rPr>
          <w:color w:val="000000"/>
          <w:sz w:val="23"/>
          <w:szCs w:val="23"/>
        </w:rPr>
      </w:pPr>
    </w:p>
    <w:p>
      <w:pPr>
        <w:jc w:val="center"/>
        <w:rPr>
          <w:color w:val="000000"/>
          <w:sz w:val="23"/>
          <w:szCs w:val="23"/>
        </w:rPr>
      </w:pPr>
    </w:p>
    <w:p>
      <w:pPr>
        <w:jc w:val="center"/>
        <w:rPr>
          <w:color w:val="000000"/>
          <w:sz w:val="23"/>
          <w:szCs w:val="23"/>
        </w:rPr>
      </w:pPr>
      <w:r>
        <w:rPr>
          <w:color w:val="000000"/>
          <w:sz w:val="23"/>
          <w:szCs w:val="23"/>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4"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color w:val="000000"/>
          <w:sz w:val="23"/>
          <w:szCs w:val="23"/>
        </w:rPr>
      </w:pPr>
    </w:p>
    <w:p>
      <w:pPr>
        <w:jc w:val="center"/>
        <w:rPr>
          <w:color w:val="000000"/>
          <w:sz w:val="23"/>
          <w:szCs w:val="23"/>
        </w:rPr>
      </w:pPr>
    </w:p>
    <w:p>
      <w:pPr>
        <w:jc w:val="center"/>
        <w:rPr>
          <w:rFonts w:ascii="黑体" w:hAnsi="黑体" w:eastAsia="黑体" w:cs="黑体"/>
          <w:b/>
          <w:bCs/>
          <w:spacing w:val="40"/>
          <w:sz w:val="52"/>
          <w:szCs w:val="52"/>
        </w:rPr>
      </w:pPr>
      <w:r>
        <w:rPr>
          <w:rFonts w:hint="eastAsia" w:ascii="黑体" w:hAnsi="黑体" w:eastAsia="黑体" w:cs="黑体"/>
          <w:b/>
          <w:bCs/>
          <w:spacing w:val="40"/>
          <w:sz w:val="52"/>
          <w:szCs w:val="52"/>
        </w:rPr>
        <w:t>佛山校区202</w:t>
      </w:r>
      <w:r>
        <w:rPr>
          <w:rFonts w:ascii="黑体" w:hAnsi="黑体" w:eastAsia="黑体" w:cs="黑体"/>
          <w:b/>
          <w:bCs/>
          <w:spacing w:val="40"/>
          <w:sz w:val="52"/>
          <w:szCs w:val="52"/>
        </w:rPr>
        <w:t>3</w:t>
      </w:r>
      <w:r>
        <w:rPr>
          <w:rFonts w:hint="eastAsia" w:ascii="黑体" w:hAnsi="黑体" w:eastAsia="黑体" w:cs="黑体"/>
          <w:b/>
          <w:bCs/>
          <w:spacing w:val="40"/>
          <w:sz w:val="52"/>
          <w:szCs w:val="52"/>
        </w:rPr>
        <w:t>-202</w:t>
      </w:r>
      <w:r>
        <w:rPr>
          <w:rFonts w:ascii="黑体" w:hAnsi="黑体" w:eastAsia="黑体" w:cs="黑体"/>
          <w:b/>
          <w:bCs/>
          <w:spacing w:val="40"/>
          <w:sz w:val="52"/>
          <w:szCs w:val="52"/>
        </w:rPr>
        <w:t>4</w:t>
      </w:r>
      <w:r>
        <w:rPr>
          <w:rFonts w:hint="eastAsia" w:ascii="黑体" w:hAnsi="黑体" w:eastAsia="黑体" w:cs="黑体"/>
          <w:b/>
          <w:bCs/>
          <w:spacing w:val="40"/>
          <w:sz w:val="52"/>
          <w:szCs w:val="52"/>
        </w:rPr>
        <w:t>年计算机及</w:t>
      </w:r>
    </w:p>
    <w:p>
      <w:pPr>
        <w:jc w:val="center"/>
        <w:rPr>
          <w:rFonts w:ascii="黑体" w:hAnsi="黑体" w:eastAsia="黑体" w:cs="黑体"/>
          <w:b/>
          <w:bCs/>
          <w:spacing w:val="40"/>
          <w:sz w:val="52"/>
          <w:szCs w:val="52"/>
        </w:rPr>
      </w:pPr>
      <w:r>
        <w:rPr>
          <w:rFonts w:hint="eastAsia" w:ascii="黑体" w:hAnsi="黑体" w:eastAsia="黑体" w:cs="黑体"/>
          <w:b/>
          <w:bCs/>
          <w:spacing w:val="40"/>
          <w:sz w:val="52"/>
          <w:szCs w:val="52"/>
        </w:rPr>
        <w:t>办公设备维修保养服务项目</w:t>
      </w:r>
    </w:p>
    <w:p>
      <w:pPr>
        <w:jc w:val="center"/>
        <w:rPr>
          <w:rFonts w:ascii="黑体" w:hAnsi="宋体" w:eastAsia="黑体"/>
          <w:b/>
          <w:color w:val="000000"/>
          <w:kern w:val="0"/>
          <w:sz w:val="52"/>
          <w:szCs w:val="52"/>
        </w:rPr>
      </w:pPr>
    </w:p>
    <w:p>
      <w:pPr>
        <w:spacing w:line="1000" w:lineRule="exact"/>
        <w:jc w:val="center"/>
        <w:rPr>
          <w:rFonts w:ascii="黑体" w:eastAsia="黑体"/>
          <w:b/>
          <w:color w:val="000000"/>
          <w:sz w:val="52"/>
          <w:szCs w:val="52"/>
        </w:rPr>
      </w:pPr>
    </w:p>
    <w:p>
      <w:pPr>
        <w:spacing w:line="1000" w:lineRule="exact"/>
        <w:jc w:val="center"/>
        <w:rPr>
          <w:rFonts w:ascii="黑体" w:eastAsia="黑体"/>
          <w:b/>
          <w:color w:val="000000"/>
          <w:sz w:val="52"/>
          <w:szCs w:val="52"/>
        </w:rPr>
      </w:pPr>
      <w:r>
        <w:rPr>
          <w:rFonts w:hint="eastAsia" w:ascii="黑体" w:eastAsia="黑体"/>
          <w:b/>
          <w:color w:val="000000"/>
          <w:sz w:val="52"/>
          <w:szCs w:val="52"/>
        </w:rPr>
        <w:t>招</w:t>
      </w:r>
    </w:p>
    <w:p>
      <w:pPr>
        <w:spacing w:line="1000" w:lineRule="exact"/>
        <w:jc w:val="center"/>
        <w:rPr>
          <w:rFonts w:ascii="黑体" w:eastAsia="黑体"/>
          <w:b/>
          <w:color w:val="000000"/>
          <w:sz w:val="52"/>
          <w:szCs w:val="52"/>
        </w:rPr>
      </w:pPr>
      <w:r>
        <w:rPr>
          <w:rFonts w:hint="eastAsia" w:ascii="黑体" w:eastAsia="黑体"/>
          <w:b/>
          <w:color w:val="000000"/>
          <w:sz w:val="52"/>
          <w:szCs w:val="52"/>
        </w:rPr>
        <w:t>标</w:t>
      </w:r>
    </w:p>
    <w:p>
      <w:pPr>
        <w:spacing w:line="1000" w:lineRule="exact"/>
        <w:jc w:val="center"/>
        <w:rPr>
          <w:rFonts w:ascii="黑体" w:eastAsia="黑体"/>
          <w:b/>
          <w:color w:val="000000"/>
          <w:sz w:val="52"/>
          <w:szCs w:val="52"/>
        </w:rPr>
      </w:pPr>
      <w:r>
        <w:rPr>
          <w:rFonts w:hint="eastAsia" w:ascii="黑体" w:eastAsia="黑体"/>
          <w:b/>
          <w:color w:val="000000"/>
          <w:sz w:val="52"/>
          <w:szCs w:val="52"/>
        </w:rPr>
        <w:t>文</w:t>
      </w:r>
    </w:p>
    <w:p>
      <w:pPr>
        <w:spacing w:line="1000" w:lineRule="exact"/>
        <w:jc w:val="center"/>
        <w:rPr>
          <w:rFonts w:ascii="黑体" w:eastAsia="黑体"/>
          <w:b/>
          <w:color w:val="000000"/>
          <w:sz w:val="52"/>
          <w:szCs w:val="52"/>
        </w:rPr>
      </w:pPr>
      <w:r>
        <w:rPr>
          <w:rFonts w:hint="eastAsia" w:ascii="黑体" w:eastAsia="黑体"/>
          <w:b/>
          <w:color w:val="000000"/>
          <w:sz w:val="52"/>
          <w:szCs w:val="52"/>
        </w:rPr>
        <w:t>件</w:t>
      </w:r>
    </w:p>
    <w:p>
      <w:pPr>
        <w:rPr>
          <w:color w:val="000000"/>
          <w:sz w:val="23"/>
          <w:szCs w:val="23"/>
        </w:rPr>
      </w:pPr>
    </w:p>
    <w:p>
      <w:pPr>
        <w:rPr>
          <w:color w:val="000000"/>
          <w:sz w:val="23"/>
          <w:szCs w:val="23"/>
        </w:rPr>
      </w:pPr>
    </w:p>
    <w:p>
      <w:pPr>
        <w:rPr>
          <w:color w:val="000000"/>
          <w:sz w:val="23"/>
          <w:szCs w:val="23"/>
        </w:rPr>
      </w:pPr>
    </w:p>
    <w:p>
      <w:pPr>
        <w:pStyle w:val="25"/>
        <w:spacing w:line="360" w:lineRule="auto"/>
        <w:ind w:left="0" w:leftChars="0"/>
        <w:jc w:val="center"/>
        <w:rPr>
          <w:rFonts w:ascii="宋体" w:hAnsi="宋体"/>
          <w:sz w:val="32"/>
          <w:szCs w:val="32"/>
        </w:rPr>
      </w:pPr>
      <w:r>
        <w:rPr>
          <w:rFonts w:hint="eastAsia" w:ascii="宋体" w:hAnsi="宋体"/>
          <w:sz w:val="32"/>
          <w:szCs w:val="32"/>
        </w:rPr>
        <w:t>佛山校区管理委员会 编制</w:t>
      </w:r>
    </w:p>
    <w:p>
      <w:pPr>
        <w:jc w:val="center"/>
        <w:rPr>
          <w:color w:val="000000"/>
          <w:sz w:val="23"/>
          <w:szCs w:val="23"/>
        </w:rPr>
      </w:pPr>
      <w:r>
        <w:rPr>
          <w:rFonts w:hint="eastAsia" w:ascii="宋体" w:hAnsi="宋体"/>
          <w:sz w:val="32"/>
          <w:szCs w:val="32"/>
        </w:rPr>
        <w:t>2023</w:t>
      </w:r>
      <w:r>
        <w:rPr>
          <w:rFonts w:ascii="宋体" w:hAnsi="宋体"/>
          <w:sz w:val="32"/>
          <w:szCs w:val="32"/>
        </w:rPr>
        <w:t>年7月</w:t>
      </w:r>
      <w:r>
        <w:rPr>
          <w:rFonts w:hint="eastAsia" w:ascii="宋体" w:hAnsi="宋体"/>
          <w:sz w:val="32"/>
          <w:szCs w:val="32"/>
          <w:lang w:val="en-US" w:eastAsia="zh-CN"/>
        </w:rPr>
        <w:t>7</w:t>
      </w:r>
      <w:r>
        <w:rPr>
          <w:rFonts w:hint="eastAsia" w:ascii="宋体" w:hAnsi="宋体"/>
          <w:sz w:val="32"/>
          <w:szCs w:val="32"/>
        </w:rPr>
        <w:t>日 发布</w:t>
      </w:r>
      <w:r>
        <w:rPr>
          <w:rFonts w:ascii="宋体" w:hAnsi="宋体"/>
          <w:sz w:val="23"/>
          <w:szCs w:val="23"/>
        </w:rPr>
        <w:br w:type="column"/>
      </w:r>
    </w:p>
    <w:p>
      <w:pPr>
        <w:spacing w:line="360" w:lineRule="auto"/>
        <w:jc w:val="center"/>
        <w:rPr>
          <w:b/>
          <w:sz w:val="32"/>
          <w:szCs w:val="32"/>
        </w:rPr>
      </w:pPr>
      <w:r>
        <w:rPr>
          <w:rFonts w:hint="eastAsia"/>
          <w:b/>
          <w:sz w:val="32"/>
          <w:szCs w:val="32"/>
        </w:rPr>
        <w:t>目录</w:t>
      </w:r>
    </w:p>
    <w:p>
      <w:pPr>
        <w:pStyle w:val="29"/>
        <w:tabs>
          <w:tab w:val="right" w:leader="dot" w:pos="8391"/>
        </w:tabs>
      </w:pPr>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r>
        <w:fldChar w:fldCharType="begin"/>
      </w:r>
      <w:r>
        <w:instrText xml:space="preserve"> HYPERLINK \l "_Toc23064" </w:instrText>
      </w:r>
      <w:r>
        <w:fldChar w:fldCharType="separate"/>
      </w:r>
      <w:r>
        <w:rPr>
          <w:rFonts w:hint="eastAsia"/>
        </w:rPr>
        <w:t>第一部分投标邀请函</w:t>
      </w:r>
      <w:r>
        <w:tab/>
      </w:r>
      <w:r>
        <w:fldChar w:fldCharType="begin"/>
      </w:r>
      <w:r>
        <w:instrText xml:space="preserve"> PAGEREF _Toc23064 \h </w:instrText>
      </w:r>
      <w:r>
        <w:fldChar w:fldCharType="separate"/>
      </w:r>
      <w:r>
        <w:t>4</w:t>
      </w:r>
      <w:r>
        <w:fldChar w:fldCharType="end"/>
      </w:r>
      <w:r>
        <w:fldChar w:fldCharType="end"/>
      </w:r>
    </w:p>
    <w:p>
      <w:pPr>
        <w:pStyle w:val="29"/>
        <w:tabs>
          <w:tab w:val="right" w:leader="dot" w:pos="8391"/>
        </w:tabs>
      </w:pPr>
      <w:r>
        <w:fldChar w:fldCharType="begin"/>
      </w:r>
      <w:r>
        <w:instrText xml:space="preserve"> HYPERLINK \l "_Toc21471" </w:instrText>
      </w:r>
      <w:r>
        <w:fldChar w:fldCharType="separate"/>
      </w:r>
      <w:r>
        <w:rPr>
          <w:rFonts w:hint="eastAsia"/>
        </w:rPr>
        <w:t>第二部分  项目内容及需求</w:t>
      </w:r>
      <w:r>
        <w:tab/>
      </w:r>
      <w:r>
        <w:fldChar w:fldCharType="begin"/>
      </w:r>
      <w:r>
        <w:instrText xml:space="preserve"> PAGEREF _Toc21471 \h </w:instrText>
      </w:r>
      <w:r>
        <w:fldChar w:fldCharType="separate"/>
      </w:r>
      <w:r>
        <w:t>6</w:t>
      </w:r>
      <w:r>
        <w:fldChar w:fldCharType="end"/>
      </w:r>
      <w:r>
        <w:fldChar w:fldCharType="end"/>
      </w:r>
    </w:p>
    <w:p>
      <w:pPr>
        <w:pStyle w:val="37"/>
        <w:tabs>
          <w:tab w:val="right" w:leader="dot" w:pos="8391"/>
        </w:tabs>
      </w:pPr>
      <w:r>
        <w:fldChar w:fldCharType="begin"/>
      </w:r>
      <w:r>
        <w:instrText xml:space="preserve"> HYPERLINK \l "_Toc26680" </w:instrText>
      </w:r>
      <w:r>
        <w:fldChar w:fldCharType="separate"/>
      </w:r>
      <w:r>
        <w:rPr>
          <w:rFonts w:hint="eastAsia"/>
        </w:rPr>
        <w:t>2.1 项目概况</w:t>
      </w:r>
      <w:r>
        <w:tab/>
      </w:r>
      <w:r>
        <w:fldChar w:fldCharType="end"/>
      </w:r>
      <w:r>
        <w:rPr>
          <w:rFonts w:hint="eastAsia"/>
        </w:rPr>
        <w:t>6</w:t>
      </w:r>
    </w:p>
    <w:p>
      <w:pPr>
        <w:pStyle w:val="37"/>
        <w:tabs>
          <w:tab w:val="right" w:leader="dot" w:pos="8391"/>
        </w:tabs>
      </w:pPr>
      <w:r>
        <w:fldChar w:fldCharType="begin"/>
      </w:r>
      <w:r>
        <w:instrText xml:space="preserve"> HYPERLINK \l "_Toc25426" </w:instrText>
      </w:r>
      <w:r>
        <w:fldChar w:fldCharType="separate"/>
      </w:r>
      <w:r>
        <w:rPr>
          <w:rFonts w:hint="eastAsia"/>
        </w:rPr>
        <w:t>2.2设备类型及数量</w:t>
      </w:r>
      <w:r>
        <w:tab/>
      </w:r>
      <w:r>
        <w:fldChar w:fldCharType="end"/>
      </w:r>
      <w:r>
        <w:rPr>
          <w:rFonts w:hint="eastAsia"/>
        </w:rPr>
        <w:t>6</w:t>
      </w:r>
    </w:p>
    <w:p>
      <w:pPr>
        <w:pStyle w:val="37"/>
        <w:tabs>
          <w:tab w:val="right" w:leader="dot" w:pos="8391"/>
        </w:tabs>
      </w:pPr>
      <w:r>
        <w:fldChar w:fldCharType="begin"/>
      </w:r>
      <w:r>
        <w:instrText xml:space="preserve"> HYPERLINK \l "_Toc25426" </w:instrText>
      </w:r>
      <w:r>
        <w:fldChar w:fldCharType="separate"/>
      </w:r>
      <w:r>
        <w:rPr>
          <w:rFonts w:hint="eastAsia"/>
        </w:rPr>
        <w:t>2.3技术要求</w:t>
      </w:r>
      <w:r>
        <w:tab/>
      </w:r>
      <w:r>
        <w:fldChar w:fldCharType="end"/>
      </w:r>
      <w:r>
        <w:rPr>
          <w:rFonts w:hint="eastAsia"/>
        </w:rPr>
        <w:t>7</w:t>
      </w:r>
    </w:p>
    <w:p>
      <w:pPr>
        <w:pStyle w:val="37"/>
        <w:tabs>
          <w:tab w:val="right" w:leader="dot" w:pos="8391"/>
        </w:tabs>
      </w:pPr>
      <w:r>
        <w:fldChar w:fldCharType="begin"/>
      </w:r>
      <w:r>
        <w:instrText xml:space="preserve"> HYPERLINK \l "_Toc25426" </w:instrText>
      </w:r>
      <w:r>
        <w:fldChar w:fldCharType="separate"/>
      </w:r>
      <w:r>
        <w:rPr>
          <w:rFonts w:hint="eastAsia"/>
        </w:rPr>
        <w:t>2.4 商务要求</w:t>
      </w:r>
      <w:r>
        <w:tab/>
      </w:r>
      <w:r>
        <w:fldChar w:fldCharType="end"/>
      </w:r>
      <w:r>
        <w:rPr>
          <w:rFonts w:hint="eastAsia"/>
        </w:rPr>
        <w:t>10</w:t>
      </w:r>
    </w:p>
    <w:p>
      <w:pPr>
        <w:pStyle w:val="29"/>
        <w:tabs>
          <w:tab w:val="right" w:leader="dot" w:pos="8391"/>
        </w:tabs>
      </w:pPr>
      <w:r>
        <w:fldChar w:fldCharType="begin"/>
      </w:r>
      <w:r>
        <w:instrText xml:space="preserve"> HYPERLINK \l "_Toc20990" </w:instrText>
      </w:r>
      <w:r>
        <w:fldChar w:fldCharType="separate"/>
      </w:r>
      <w:r>
        <w:rPr>
          <w:rFonts w:hint="eastAsia"/>
        </w:rPr>
        <w:t>第三部分  投标人须知</w:t>
      </w:r>
      <w:r>
        <w:tab/>
      </w:r>
      <w:r>
        <w:fldChar w:fldCharType="begin"/>
      </w:r>
      <w:r>
        <w:instrText xml:space="preserve"> PAGEREF _Toc20990 \h </w:instrText>
      </w:r>
      <w:r>
        <w:fldChar w:fldCharType="separate"/>
      </w:r>
      <w:r>
        <w:t>9</w:t>
      </w:r>
      <w:r>
        <w:fldChar w:fldCharType="end"/>
      </w:r>
      <w:r>
        <w:fldChar w:fldCharType="end"/>
      </w:r>
    </w:p>
    <w:p>
      <w:pPr>
        <w:pStyle w:val="37"/>
        <w:tabs>
          <w:tab w:val="right" w:leader="dot" w:pos="8391"/>
        </w:tabs>
      </w:pPr>
      <w:r>
        <w:fldChar w:fldCharType="begin"/>
      </w:r>
      <w:r>
        <w:instrText xml:space="preserve"> HYPERLINK \l "_Toc3261" </w:instrText>
      </w:r>
      <w:r>
        <w:fldChar w:fldCharType="separate"/>
      </w:r>
      <w:r>
        <w:rPr>
          <w:rFonts w:hint="eastAsia"/>
        </w:rPr>
        <w:t>3.1 说明</w:t>
      </w:r>
      <w:r>
        <w:tab/>
      </w:r>
      <w:r>
        <w:fldChar w:fldCharType="begin"/>
      </w:r>
      <w:r>
        <w:instrText xml:space="preserve"> PAGEREF _Toc3261 \h </w:instrText>
      </w:r>
      <w:r>
        <w:fldChar w:fldCharType="separate"/>
      </w:r>
      <w:r>
        <w:t>9</w:t>
      </w:r>
      <w:r>
        <w:fldChar w:fldCharType="end"/>
      </w:r>
      <w:r>
        <w:fldChar w:fldCharType="end"/>
      </w:r>
    </w:p>
    <w:p>
      <w:pPr>
        <w:pStyle w:val="37"/>
        <w:tabs>
          <w:tab w:val="right" w:leader="dot" w:pos="8391"/>
        </w:tabs>
      </w:pPr>
      <w:r>
        <w:fldChar w:fldCharType="begin"/>
      </w:r>
      <w:r>
        <w:instrText xml:space="preserve"> HYPERLINK \l "_Toc5163" </w:instrText>
      </w:r>
      <w:r>
        <w:fldChar w:fldCharType="separate"/>
      </w:r>
      <w:r>
        <w:rPr>
          <w:rFonts w:hint="eastAsia"/>
        </w:rPr>
        <w:t>3.2 招标文件</w:t>
      </w:r>
      <w:r>
        <w:tab/>
      </w:r>
      <w:r>
        <w:fldChar w:fldCharType="begin"/>
      </w:r>
      <w:r>
        <w:instrText xml:space="preserve"> PAGEREF _Toc5163 \h </w:instrText>
      </w:r>
      <w:r>
        <w:fldChar w:fldCharType="separate"/>
      </w:r>
      <w:r>
        <w:t>10</w:t>
      </w:r>
      <w:r>
        <w:fldChar w:fldCharType="end"/>
      </w:r>
      <w:r>
        <w:fldChar w:fldCharType="end"/>
      </w:r>
    </w:p>
    <w:p>
      <w:pPr>
        <w:pStyle w:val="37"/>
        <w:tabs>
          <w:tab w:val="right" w:leader="dot" w:pos="8391"/>
        </w:tabs>
      </w:pPr>
      <w:r>
        <w:fldChar w:fldCharType="begin"/>
      </w:r>
      <w:r>
        <w:instrText xml:space="preserve"> HYPERLINK \l "_Toc13076" </w:instrText>
      </w:r>
      <w:r>
        <w:fldChar w:fldCharType="separate"/>
      </w:r>
      <w:r>
        <w:rPr>
          <w:rFonts w:hint="eastAsia"/>
        </w:rPr>
        <w:t>3.3 投标文件</w:t>
      </w:r>
      <w:r>
        <w:tab/>
      </w:r>
      <w:r>
        <w:fldChar w:fldCharType="begin"/>
      </w:r>
      <w:r>
        <w:instrText xml:space="preserve"> PAGEREF _Toc13076 \h </w:instrText>
      </w:r>
      <w:r>
        <w:fldChar w:fldCharType="separate"/>
      </w:r>
      <w:r>
        <w:t>10</w:t>
      </w:r>
      <w:r>
        <w:fldChar w:fldCharType="end"/>
      </w:r>
      <w:r>
        <w:fldChar w:fldCharType="end"/>
      </w:r>
    </w:p>
    <w:p>
      <w:pPr>
        <w:pStyle w:val="29"/>
        <w:tabs>
          <w:tab w:val="right" w:leader="dot" w:pos="8391"/>
        </w:tabs>
      </w:pPr>
      <w:r>
        <w:fldChar w:fldCharType="begin"/>
      </w:r>
      <w:r>
        <w:instrText xml:space="preserve"> HYPERLINK \l "_Toc25131" </w:instrText>
      </w:r>
      <w:r>
        <w:fldChar w:fldCharType="separate"/>
      </w:r>
      <w:r>
        <w:rPr>
          <w:rFonts w:hint="eastAsia"/>
        </w:rPr>
        <w:t>第四部分  评标办法、资格性审查及评标标准</w:t>
      </w:r>
      <w:r>
        <w:tab/>
      </w:r>
      <w:r>
        <w:fldChar w:fldCharType="begin"/>
      </w:r>
      <w:r>
        <w:instrText xml:space="preserve"> PAGEREF _Toc25131 \h </w:instrText>
      </w:r>
      <w:r>
        <w:fldChar w:fldCharType="separate"/>
      </w:r>
      <w:r>
        <w:t>12</w:t>
      </w:r>
      <w:r>
        <w:fldChar w:fldCharType="end"/>
      </w:r>
      <w:r>
        <w:fldChar w:fldCharType="end"/>
      </w:r>
    </w:p>
    <w:p>
      <w:pPr>
        <w:pStyle w:val="37"/>
        <w:tabs>
          <w:tab w:val="right" w:leader="dot" w:pos="8391"/>
        </w:tabs>
      </w:pPr>
      <w:r>
        <w:fldChar w:fldCharType="begin"/>
      </w:r>
      <w:r>
        <w:instrText xml:space="preserve"> HYPERLINK \l "_Toc28444" </w:instrText>
      </w:r>
      <w:r>
        <w:fldChar w:fldCharType="separate"/>
      </w:r>
      <w:r>
        <w:rPr>
          <w:rFonts w:hint="eastAsia"/>
        </w:rPr>
        <w:t>4.1 评标方法</w:t>
      </w:r>
      <w:r>
        <w:tab/>
      </w:r>
      <w:r>
        <w:fldChar w:fldCharType="begin"/>
      </w:r>
      <w:r>
        <w:instrText xml:space="preserve"> PAGEREF _Toc28444 \h </w:instrText>
      </w:r>
      <w:r>
        <w:fldChar w:fldCharType="separate"/>
      </w:r>
      <w:r>
        <w:t>12</w:t>
      </w:r>
      <w:r>
        <w:fldChar w:fldCharType="end"/>
      </w:r>
      <w:r>
        <w:fldChar w:fldCharType="end"/>
      </w:r>
    </w:p>
    <w:p>
      <w:pPr>
        <w:pStyle w:val="37"/>
        <w:tabs>
          <w:tab w:val="right" w:leader="dot" w:pos="8391"/>
        </w:tabs>
      </w:pPr>
      <w:r>
        <w:fldChar w:fldCharType="begin"/>
      </w:r>
      <w:r>
        <w:instrText xml:space="preserve"> HYPERLINK \l "_Toc154" </w:instrText>
      </w:r>
      <w:r>
        <w:fldChar w:fldCharType="separate"/>
      </w:r>
      <w:r>
        <w:rPr>
          <w:rFonts w:hint="eastAsia"/>
        </w:rPr>
        <w:t>4.2  资格性审查</w:t>
      </w:r>
      <w:r>
        <w:tab/>
      </w:r>
      <w:r>
        <w:fldChar w:fldCharType="begin"/>
      </w:r>
      <w:r>
        <w:instrText xml:space="preserve"> PAGEREF _Toc154 \h </w:instrText>
      </w:r>
      <w:r>
        <w:fldChar w:fldCharType="separate"/>
      </w:r>
      <w:r>
        <w:t>12</w:t>
      </w:r>
      <w:r>
        <w:fldChar w:fldCharType="end"/>
      </w:r>
      <w:r>
        <w:fldChar w:fldCharType="end"/>
      </w:r>
    </w:p>
    <w:p>
      <w:pPr>
        <w:pStyle w:val="37"/>
        <w:tabs>
          <w:tab w:val="right" w:leader="dot" w:pos="8391"/>
        </w:tabs>
      </w:pPr>
      <w:r>
        <w:fldChar w:fldCharType="begin"/>
      </w:r>
      <w:r>
        <w:instrText xml:space="preserve"> HYPERLINK \l "_Toc20060" </w:instrText>
      </w:r>
      <w:r>
        <w:fldChar w:fldCharType="separate"/>
      </w:r>
      <w:r>
        <w:rPr>
          <w:rFonts w:hint="eastAsia"/>
        </w:rPr>
        <w:t>4.3  权重分配表</w:t>
      </w:r>
      <w:r>
        <w:tab/>
      </w:r>
      <w:r>
        <w:fldChar w:fldCharType="begin"/>
      </w:r>
      <w:r>
        <w:instrText xml:space="preserve"> PAGEREF _Toc20060 \h </w:instrText>
      </w:r>
      <w:r>
        <w:fldChar w:fldCharType="separate"/>
      </w:r>
      <w:r>
        <w:t>12</w:t>
      </w:r>
      <w:r>
        <w:fldChar w:fldCharType="end"/>
      </w:r>
      <w:r>
        <w:fldChar w:fldCharType="end"/>
      </w:r>
    </w:p>
    <w:p>
      <w:pPr>
        <w:pStyle w:val="37"/>
        <w:tabs>
          <w:tab w:val="right" w:leader="dot" w:pos="8391"/>
        </w:tabs>
      </w:pPr>
      <w:r>
        <w:fldChar w:fldCharType="begin"/>
      </w:r>
      <w:r>
        <w:instrText xml:space="preserve"> HYPERLINK \l "_Toc7376" </w:instrText>
      </w:r>
      <w:r>
        <w:fldChar w:fldCharType="separate"/>
      </w:r>
      <w:r>
        <w:rPr>
          <w:rFonts w:hint="eastAsia"/>
        </w:rPr>
        <w:t>4.4  评标标准</w:t>
      </w:r>
      <w:r>
        <w:tab/>
      </w:r>
      <w:r>
        <w:fldChar w:fldCharType="begin"/>
      </w:r>
      <w:r>
        <w:instrText xml:space="preserve"> PAGEREF _Toc7376 \h </w:instrText>
      </w:r>
      <w:r>
        <w:fldChar w:fldCharType="separate"/>
      </w:r>
      <w:r>
        <w:t>12</w:t>
      </w:r>
      <w:r>
        <w:fldChar w:fldCharType="end"/>
      </w:r>
      <w:r>
        <w:fldChar w:fldCharType="end"/>
      </w:r>
    </w:p>
    <w:p>
      <w:pPr>
        <w:pStyle w:val="29"/>
        <w:tabs>
          <w:tab w:val="right" w:leader="dot" w:pos="8391"/>
        </w:tabs>
      </w:pPr>
      <w:r>
        <w:fldChar w:fldCharType="begin"/>
      </w:r>
      <w:r>
        <w:instrText xml:space="preserve"> HYPERLINK \l "_Toc3833" </w:instrText>
      </w:r>
      <w:r>
        <w:fldChar w:fldCharType="separate"/>
      </w:r>
      <w:r>
        <w:rPr>
          <w:rFonts w:hint="eastAsia"/>
        </w:rPr>
        <w:t>第五部分  合同格式及主要条款</w:t>
      </w:r>
      <w:r>
        <w:tab/>
      </w:r>
      <w:r>
        <w:fldChar w:fldCharType="begin"/>
      </w:r>
      <w:r>
        <w:instrText xml:space="preserve"> PAGEREF _Toc3833 \h </w:instrText>
      </w:r>
      <w:r>
        <w:fldChar w:fldCharType="separate"/>
      </w:r>
      <w:r>
        <w:t>18</w:t>
      </w:r>
      <w:r>
        <w:fldChar w:fldCharType="end"/>
      </w:r>
      <w:r>
        <w:fldChar w:fldCharType="end"/>
      </w:r>
    </w:p>
    <w:p>
      <w:pPr>
        <w:pStyle w:val="29"/>
        <w:tabs>
          <w:tab w:val="right" w:leader="dot" w:pos="8391"/>
        </w:tabs>
      </w:pPr>
      <w:r>
        <w:fldChar w:fldCharType="begin"/>
      </w:r>
      <w:r>
        <w:instrText xml:space="preserve"> HYPERLINK \l "_Toc20964" </w:instrText>
      </w:r>
      <w:r>
        <w:fldChar w:fldCharType="separate"/>
      </w:r>
      <w:r>
        <w:rPr>
          <w:rFonts w:hint="eastAsia" w:ascii="Arial" w:hAnsi="Arial"/>
        </w:rPr>
        <w:t>第六部分  投标文件格式</w:t>
      </w:r>
      <w:r>
        <w:tab/>
      </w:r>
      <w:r>
        <w:fldChar w:fldCharType="begin"/>
      </w:r>
      <w:r>
        <w:instrText xml:space="preserve"> PAGEREF _Toc20964 \h </w:instrText>
      </w:r>
      <w:r>
        <w:fldChar w:fldCharType="separate"/>
      </w:r>
      <w:r>
        <w:t>21</w:t>
      </w:r>
      <w:r>
        <w:fldChar w:fldCharType="end"/>
      </w:r>
      <w:r>
        <w:fldChar w:fldCharType="end"/>
      </w:r>
    </w:p>
    <w:p>
      <w:pPr>
        <w:pStyle w:val="37"/>
        <w:tabs>
          <w:tab w:val="right" w:leader="dot" w:pos="8391"/>
        </w:tabs>
      </w:pPr>
      <w:r>
        <w:fldChar w:fldCharType="begin"/>
      </w:r>
      <w:r>
        <w:instrText xml:space="preserve"> HYPERLINK \l "_Toc26404" </w:instrText>
      </w:r>
      <w:r>
        <w:fldChar w:fldCharType="separate"/>
      </w:r>
      <w:r>
        <w:rPr>
          <w:rFonts w:hint="eastAsia" w:ascii="宋体" w:hAnsi="宋体"/>
        </w:rPr>
        <w:t xml:space="preserve">6.1 </w:t>
      </w:r>
      <w:r>
        <w:rPr>
          <w:rFonts w:hint="eastAsia"/>
        </w:rPr>
        <w:t>投标函</w:t>
      </w:r>
      <w:r>
        <w:tab/>
      </w:r>
      <w:r>
        <w:fldChar w:fldCharType="begin"/>
      </w:r>
      <w:r>
        <w:instrText xml:space="preserve"> PAGEREF _Toc26404 \h </w:instrText>
      </w:r>
      <w:r>
        <w:fldChar w:fldCharType="separate"/>
      </w:r>
      <w:r>
        <w:t>21</w:t>
      </w:r>
      <w:r>
        <w:fldChar w:fldCharType="end"/>
      </w:r>
      <w:r>
        <w:fldChar w:fldCharType="end"/>
      </w:r>
    </w:p>
    <w:p>
      <w:pPr>
        <w:pStyle w:val="37"/>
        <w:tabs>
          <w:tab w:val="right" w:leader="dot" w:pos="8391"/>
        </w:tabs>
      </w:pPr>
      <w:r>
        <w:fldChar w:fldCharType="begin"/>
      </w:r>
      <w:r>
        <w:instrText xml:space="preserve"> HYPERLINK \l "_Toc20173" </w:instrText>
      </w:r>
      <w:r>
        <w:fldChar w:fldCharType="separate"/>
      </w:r>
      <w:r>
        <w:rPr>
          <w:rFonts w:hint="eastAsia" w:ascii="宋体" w:hAnsi="宋体"/>
        </w:rPr>
        <w:t xml:space="preserve">6.2 </w:t>
      </w:r>
      <w:r>
        <w:rPr>
          <w:rFonts w:hint="eastAsia"/>
        </w:rPr>
        <w:t>价格文件</w:t>
      </w:r>
      <w:r>
        <w:tab/>
      </w:r>
      <w:r>
        <w:fldChar w:fldCharType="begin"/>
      </w:r>
      <w:r>
        <w:instrText xml:space="preserve"> PAGEREF _Toc20173 \h </w:instrText>
      </w:r>
      <w:r>
        <w:fldChar w:fldCharType="separate"/>
      </w:r>
      <w:r>
        <w:t>23</w:t>
      </w:r>
      <w:r>
        <w:fldChar w:fldCharType="end"/>
      </w:r>
      <w:r>
        <w:fldChar w:fldCharType="end"/>
      </w:r>
    </w:p>
    <w:p>
      <w:pPr>
        <w:pStyle w:val="37"/>
        <w:tabs>
          <w:tab w:val="right" w:leader="dot" w:pos="8391"/>
        </w:tabs>
      </w:pPr>
      <w:r>
        <w:fldChar w:fldCharType="begin"/>
      </w:r>
      <w:r>
        <w:instrText xml:space="preserve"> HYPERLINK \l "_Toc7488" </w:instrText>
      </w:r>
      <w:r>
        <w:fldChar w:fldCharType="separate"/>
      </w:r>
      <w:r>
        <w:rPr>
          <w:rFonts w:hint="eastAsia" w:ascii="宋体" w:hAnsi="宋体"/>
        </w:rPr>
        <w:t xml:space="preserve">6.3 </w:t>
      </w:r>
      <w:r>
        <w:rPr>
          <w:rFonts w:hint="eastAsia"/>
        </w:rPr>
        <w:t>技术文件</w:t>
      </w:r>
      <w:r>
        <w:tab/>
      </w:r>
      <w:r>
        <w:fldChar w:fldCharType="begin"/>
      </w:r>
      <w:r>
        <w:instrText xml:space="preserve"> PAGEREF _Toc7488 \h </w:instrText>
      </w:r>
      <w:r>
        <w:fldChar w:fldCharType="separate"/>
      </w:r>
      <w:r>
        <w:t>24</w:t>
      </w:r>
      <w:r>
        <w:fldChar w:fldCharType="end"/>
      </w:r>
      <w:r>
        <w:fldChar w:fldCharType="end"/>
      </w:r>
    </w:p>
    <w:p>
      <w:pPr>
        <w:pStyle w:val="37"/>
        <w:tabs>
          <w:tab w:val="right" w:leader="dot" w:pos="8391"/>
        </w:tabs>
      </w:pPr>
      <w:r>
        <w:fldChar w:fldCharType="begin"/>
      </w:r>
      <w:r>
        <w:instrText xml:space="preserve"> HYPERLINK \l "_Toc28300" </w:instrText>
      </w:r>
      <w:r>
        <w:fldChar w:fldCharType="separate"/>
      </w:r>
      <w:r>
        <w:rPr>
          <w:rFonts w:hint="eastAsia" w:ascii="Arial" w:hAnsi="Arial"/>
        </w:rPr>
        <w:t>6.4 商务文件</w:t>
      </w:r>
      <w:r>
        <w:tab/>
      </w:r>
      <w:r>
        <w:fldChar w:fldCharType="begin"/>
      </w:r>
      <w:r>
        <w:instrText xml:space="preserve"> PAGEREF _Toc28300 \h </w:instrText>
      </w:r>
      <w:r>
        <w:fldChar w:fldCharType="separate"/>
      </w:r>
      <w:r>
        <w:t>25</w:t>
      </w:r>
      <w:r>
        <w:fldChar w:fldCharType="end"/>
      </w:r>
      <w:r>
        <w:fldChar w:fldCharType="end"/>
      </w:r>
    </w:p>
    <w:p>
      <w:pPr>
        <w:pStyle w:val="37"/>
        <w:tabs>
          <w:tab w:val="right" w:leader="dot" w:pos="8391"/>
        </w:tabs>
      </w:pPr>
      <w:r>
        <w:fldChar w:fldCharType="begin"/>
      </w:r>
      <w:r>
        <w:instrText xml:space="preserve"> HYPERLINK \l "_Toc7659" </w:instrText>
      </w:r>
      <w:r>
        <w:fldChar w:fldCharType="separate"/>
      </w:r>
      <w:r>
        <w:rPr>
          <w:rFonts w:hint="eastAsia"/>
        </w:rPr>
        <w:t>6.5承诺书</w:t>
      </w:r>
      <w:r>
        <w:tab/>
      </w:r>
      <w:r>
        <w:fldChar w:fldCharType="begin"/>
      </w:r>
      <w:r>
        <w:instrText xml:space="preserve"> PAGEREF _Toc7659 \h </w:instrText>
      </w:r>
      <w:r>
        <w:fldChar w:fldCharType="separate"/>
      </w:r>
      <w:r>
        <w:t>30</w:t>
      </w:r>
      <w:r>
        <w:fldChar w:fldCharType="end"/>
      </w:r>
      <w:r>
        <w:fldChar w:fldCharType="end"/>
      </w:r>
    </w:p>
    <w:p>
      <w:pPr>
        <w:pStyle w:val="37"/>
        <w:tabs>
          <w:tab w:val="right" w:leader="dot" w:pos="8391"/>
        </w:tabs>
      </w:pPr>
      <w:r>
        <w:fldChar w:fldCharType="begin"/>
      </w:r>
      <w:r>
        <w:instrText xml:space="preserve"> HYPERLINK \l "_Toc23159" </w:instrText>
      </w:r>
      <w:r>
        <w:fldChar w:fldCharType="separate"/>
      </w:r>
      <w:r>
        <w:rPr>
          <w:rFonts w:hint="eastAsia"/>
        </w:rPr>
        <w:t>6.6 投标资格文件</w:t>
      </w:r>
      <w:r>
        <w:tab/>
      </w:r>
      <w:r>
        <w:fldChar w:fldCharType="begin"/>
      </w:r>
      <w:r>
        <w:instrText xml:space="preserve"> PAGEREF _Toc23159 \h </w:instrText>
      </w:r>
      <w:r>
        <w:fldChar w:fldCharType="separate"/>
      </w:r>
      <w:r>
        <w:t>31</w:t>
      </w:r>
      <w:r>
        <w:fldChar w:fldCharType="end"/>
      </w:r>
      <w:r>
        <w:fldChar w:fldCharType="end"/>
      </w:r>
    </w:p>
    <w:p>
      <w:pPr>
        <w:pStyle w:val="37"/>
        <w:tabs>
          <w:tab w:val="right" w:leader="dot" w:pos="8391"/>
        </w:tabs>
      </w:pPr>
      <w:r>
        <w:fldChar w:fldCharType="begin"/>
      </w:r>
      <w:r>
        <w:instrText xml:space="preserve"> HYPERLINK \l "_Toc26504" </w:instrText>
      </w:r>
      <w:r>
        <w:fldChar w:fldCharType="separate"/>
      </w:r>
      <w:r>
        <w:rPr>
          <w:rFonts w:hint="eastAsia"/>
        </w:rPr>
        <w:t>6.7法定代表人证明书</w:t>
      </w:r>
      <w:r>
        <w:tab/>
      </w:r>
      <w:r>
        <w:fldChar w:fldCharType="begin"/>
      </w:r>
      <w:r>
        <w:instrText xml:space="preserve"> PAGEREF _Toc26504 \h </w:instrText>
      </w:r>
      <w:r>
        <w:fldChar w:fldCharType="separate"/>
      </w:r>
      <w:r>
        <w:t>33</w:t>
      </w:r>
      <w:r>
        <w:fldChar w:fldCharType="end"/>
      </w:r>
      <w:r>
        <w:fldChar w:fldCharType="end"/>
      </w:r>
    </w:p>
    <w:p>
      <w:pPr>
        <w:pStyle w:val="37"/>
        <w:tabs>
          <w:tab w:val="right" w:leader="dot" w:pos="8391"/>
        </w:tabs>
      </w:pPr>
      <w:r>
        <w:fldChar w:fldCharType="begin"/>
      </w:r>
      <w:r>
        <w:instrText xml:space="preserve"> HYPERLINK \l "_Toc20519" </w:instrText>
      </w:r>
      <w:r>
        <w:fldChar w:fldCharType="separate"/>
      </w:r>
      <w:r>
        <w:rPr>
          <w:rFonts w:hint="eastAsia" w:ascii="Arial" w:hAnsi="Arial"/>
        </w:rPr>
        <w:t>6.8 授权委托书</w:t>
      </w:r>
      <w:r>
        <w:tab/>
      </w:r>
      <w:r>
        <w:fldChar w:fldCharType="begin"/>
      </w:r>
      <w:r>
        <w:instrText xml:space="preserve"> PAGEREF _Toc20519 \h </w:instrText>
      </w:r>
      <w:r>
        <w:fldChar w:fldCharType="separate"/>
      </w:r>
      <w:r>
        <w:t>35</w:t>
      </w:r>
      <w:r>
        <w:fldChar w:fldCharType="end"/>
      </w:r>
      <w:r>
        <w:fldChar w:fldCharType="end"/>
      </w:r>
    </w:p>
    <w:p>
      <w:pPr>
        <w:pStyle w:val="37"/>
        <w:tabs>
          <w:tab w:val="right" w:leader="dot" w:pos="8391"/>
        </w:tabs>
      </w:pPr>
      <w:r>
        <w:fldChar w:fldCharType="begin"/>
      </w:r>
      <w:r>
        <w:instrText xml:space="preserve"> HYPERLINK \l "_Toc7944" </w:instrText>
      </w:r>
      <w:r>
        <w:fldChar w:fldCharType="separate"/>
      </w:r>
      <w:r>
        <w:rPr>
          <w:rFonts w:hint="eastAsia"/>
        </w:rPr>
        <w:t>6.9 投标文件自查清单（仅供提示）</w:t>
      </w:r>
      <w:r>
        <w:tab/>
      </w:r>
      <w:r>
        <w:fldChar w:fldCharType="begin"/>
      </w:r>
      <w:r>
        <w:instrText xml:space="preserve"> PAGEREF _Toc7944 \h </w:instrText>
      </w:r>
      <w:r>
        <w:fldChar w:fldCharType="separate"/>
      </w:r>
      <w:r>
        <w:t>36</w:t>
      </w:r>
      <w:r>
        <w:fldChar w:fldCharType="end"/>
      </w:r>
      <w:r>
        <w:fldChar w:fldCharType="end"/>
      </w:r>
    </w:p>
    <w:p>
      <w:pPr>
        <w:spacing w:line="360" w:lineRule="auto"/>
        <w:rPr>
          <w:rFonts w:ascii="宋体" w:hAnsi="宋体"/>
          <w:color w:val="000000"/>
          <w:sz w:val="23"/>
          <w:szCs w:val="23"/>
        </w:rPr>
        <w:sectPr>
          <w:headerReference r:id="rId3" w:type="first"/>
          <w:footerReference r:id="rId5" w:type="first"/>
          <w:footerReference r:id="rId4" w:type="default"/>
          <w:pgSz w:w="11907" w:h="16840"/>
          <w:pgMar w:top="1440" w:right="1758" w:bottom="1440" w:left="1758" w:header="851" w:footer="992" w:gutter="0"/>
          <w:cols w:space="720" w:num="1"/>
          <w:titlePg/>
          <w:docGrid w:type="lines" w:linePitch="312" w:charSpace="0"/>
        </w:sectPr>
      </w:pPr>
      <w:r>
        <w:rPr>
          <w:rFonts w:ascii="宋体" w:hAnsi="宋体"/>
          <w:color w:val="000000"/>
        </w:rPr>
        <w:fldChar w:fldCharType="end"/>
      </w:r>
    </w:p>
    <w:p>
      <w:pPr>
        <w:pStyle w:val="3"/>
      </w:pPr>
      <w:bookmarkStart w:id="0" w:name="_Toc23064"/>
      <w:r>
        <w:rPr>
          <w:rFonts w:hint="eastAsia"/>
        </w:rPr>
        <w:t>第一部分投标邀请函</w:t>
      </w:r>
      <w:bookmarkEnd w:id="0"/>
    </w:p>
    <w:p>
      <w:pPr>
        <w:spacing w:line="52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u w:val="single"/>
        </w:rPr>
        <w:t>各潜在投标人</w:t>
      </w:r>
      <w:r>
        <w:rPr>
          <w:rFonts w:hint="eastAsia" w:asciiTheme="minorEastAsia" w:hAnsiTheme="minorEastAsia" w:eastAsiaTheme="minorEastAsia"/>
          <w:color w:val="000000"/>
          <w:sz w:val="24"/>
        </w:rPr>
        <w:t>：</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根据《广东财经大学采购管理实施办法》有关规定，佛山校区管委会拟通过公开招标方式</w:t>
      </w:r>
      <w:r>
        <w:rPr>
          <w:rFonts w:hint="eastAsia" w:asciiTheme="minorEastAsia" w:hAnsiTheme="minorEastAsia" w:eastAsiaTheme="minorEastAsia"/>
          <w:spacing w:val="-6"/>
          <w:sz w:val="24"/>
        </w:rPr>
        <w:t>为</w:t>
      </w:r>
      <w:r>
        <w:rPr>
          <w:rFonts w:hint="eastAsia" w:asciiTheme="minorEastAsia" w:hAnsiTheme="minorEastAsia" w:eastAsiaTheme="minorEastAsia"/>
          <w:sz w:val="24"/>
        </w:rPr>
        <w:t>佛山校区2023-2024年计算机及办公设备维修保养服务项目评</w:t>
      </w:r>
      <w:r>
        <w:rPr>
          <w:rFonts w:hint="eastAsia" w:asciiTheme="minorEastAsia" w:hAnsiTheme="minorEastAsia" w:eastAsiaTheme="minorEastAsia"/>
          <w:spacing w:val="-6"/>
          <w:sz w:val="24"/>
        </w:rPr>
        <w:t>定供应商</w:t>
      </w:r>
      <w:r>
        <w:rPr>
          <w:rFonts w:hint="eastAsia" w:asciiTheme="minorEastAsia" w:hAnsiTheme="minorEastAsia" w:eastAsiaTheme="minorEastAsia"/>
          <w:sz w:val="24"/>
        </w:rPr>
        <w:t>。欢迎符合资格条件的供应商前来投标。有关事宜如下：</w:t>
      </w:r>
    </w:p>
    <w:p>
      <w:pPr>
        <w:numPr>
          <w:ilvl w:val="0"/>
          <w:numId w:val="1"/>
        </w:numPr>
        <w:tabs>
          <w:tab w:val="left" w:pos="0"/>
        </w:tabs>
        <w:spacing w:line="520" w:lineRule="exact"/>
        <w:ind w:hanging="540"/>
        <w:jc w:val="left"/>
        <w:rPr>
          <w:rFonts w:hint="eastAsia" w:asciiTheme="minorEastAsia" w:hAnsiTheme="minorEastAsia" w:eastAsiaTheme="minorEastAsia"/>
          <w:sz w:val="24"/>
        </w:rPr>
      </w:pPr>
      <w:r>
        <w:rPr>
          <w:rFonts w:hint="eastAsia" w:asciiTheme="minorEastAsia" w:hAnsiTheme="minorEastAsia" w:eastAsiaTheme="minorEastAsia"/>
          <w:bCs/>
          <w:sz w:val="24"/>
        </w:rPr>
        <w:t>项目名称</w:t>
      </w:r>
      <w:r>
        <w:rPr>
          <w:rFonts w:hint="eastAsia" w:asciiTheme="minorEastAsia" w:hAnsiTheme="minorEastAsia" w:eastAsiaTheme="minorEastAsia"/>
          <w:sz w:val="24"/>
        </w:rPr>
        <w:t>：佛山校区2023-2024年计算机及办公维修保养服务项目</w:t>
      </w:r>
    </w:p>
    <w:p>
      <w:pPr>
        <w:numPr>
          <w:ilvl w:val="0"/>
          <w:numId w:val="1"/>
        </w:numPr>
        <w:tabs>
          <w:tab w:val="left" w:pos="0"/>
        </w:tabs>
        <w:spacing w:line="520" w:lineRule="exact"/>
        <w:ind w:hanging="540"/>
        <w:rPr>
          <w:rFonts w:asciiTheme="minorEastAsia" w:hAnsiTheme="minorEastAsia" w:eastAsiaTheme="minorEastAsia"/>
          <w:sz w:val="24"/>
        </w:rPr>
      </w:pPr>
      <w:r>
        <w:rPr>
          <w:rFonts w:hint="eastAsia" w:asciiTheme="minorEastAsia" w:hAnsiTheme="minorEastAsia" w:eastAsiaTheme="minorEastAsia"/>
          <w:bCs/>
          <w:sz w:val="24"/>
        </w:rPr>
        <w:t>投标最高控制价：98</w:t>
      </w:r>
      <w:r>
        <w:rPr>
          <w:rFonts w:hint="eastAsia" w:asciiTheme="minorEastAsia" w:hAnsiTheme="minorEastAsia" w:eastAsiaTheme="minorEastAsia"/>
          <w:bCs/>
          <w:sz w:val="24"/>
          <w:lang w:val="en-US" w:eastAsia="zh-CN"/>
        </w:rPr>
        <w:t>0</w:t>
      </w:r>
      <w:r>
        <w:rPr>
          <w:rFonts w:hint="eastAsia" w:asciiTheme="minorEastAsia" w:hAnsiTheme="minorEastAsia" w:eastAsiaTheme="minorEastAsia"/>
          <w:bCs/>
          <w:sz w:val="24"/>
        </w:rPr>
        <w:t>00</w:t>
      </w:r>
      <w:r>
        <w:rPr>
          <w:rFonts w:hint="eastAsia" w:cs="仿宋_GB2312" w:asciiTheme="minorEastAsia" w:hAnsiTheme="minorEastAsia" w:eastAsiaTheme="minorEastAsia"/>
          <w:sz w:val="24"/>
        </w:rPr>
        <w:t>元</w:t>
      </w:r>
    </w:p>
    <w:p>
      <w:pPr>
        <w:numPr>
          <w:ilvl w:val="0"/>
          <w:numId w:val="1"/>
        </w:numPr>
        <w:tabs>
          <w:tab w:val="left" w:pos="0"/>
        </w:tabs>
        <w:spacing w:line="520" w:lineRule="exact"/>
        <w:ind w:hanging="540"/>
        <w:rPr>
          <w:rFonts w:asciiTheme="minorEastAsia" w:hAnsiTheme="minorEastAsia" w:eastAsiaTheme="minorEastAsia"/>
          <w:sz w:val="24"/>
        </w:rPr>
      </w:pPr>
      <w:r>
        <w:rPr>
          <w:rFonts w:hint="eastAsia" w:asciiTheme="minorEastAsia" w:hAnsiTheme="minorEastAsia" w:eastAsiaTheme="minorEastAsia"/>
          <w:sz w:val="24"/>
        </w:rPr>
        <w:t>递交投标文件及</w:t>
      </w:r>
      <w:r>
        <w:rPr>
          <w:rFonts w:asciiTheme="minorEastAsia" w:hAnsiTheme="minorEastAsia" w:eastAsiaTheme="minorEastAsia"/>
          <w:sz w:val="24"/>
        </w:rPr>
        <w:t>投标截止时间</w:t>
      </w:r>
    </w:p>
    <w:p>
      <w:pPr>
        <w:spacing w:line="520" w:lineRule="exact"/>
        <w:ind w:firstLine="600" w:firstLineChars="250"/>
        <w:rPr>
          <w:rFonts w:asciiTheme="minorEastAsia" w:hAnsiTheme="minorEastAsia" w:eastAsiaTheme="minorEastAsia"/>
          <w:sz w:val="24"/>
        </w:rPr>
      </w:pPr>
      <w:r>
        <w:rPr>
          <w:rFonts w:hint="eastAsia" w:asciiTheme="minorEastAsia" w:hAnsiTheme="minorEastAsia" w:eastAsiaTheme="minorEastAsia"/>
          <w:sz w:val="24"/>
        </w:rPr>
        <w:t>1.3.1递交投标文件时间：2023年7月</w:t>
      </w: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上午9</w:t>
      </w:r>
      <w:r>
        <w:rPr>
          <w:rFonts w:hint="eastAsia" w:asciiTheme="minorEastAsia" w:hAnsiTheme="minorEastAsia" w:eastAsiaTheme="minorEastAsia"/>
          <w:sz w:val="24"/>
        </w:rPr>
        <w:t>点-</w:t>
      </w:r>
      <w:r>
        <w:rPr>
          <w:rFonts w:hint="eastAsia" w:asciiTheme="minorEastAsia" w:hAnsiTheme="minorEastAsia" w:eastAsiaTheme="minorEastAsia"/>
          <w:sz w:val="24"/>
          <w:lang w:val="en-US" w:eastAsia="zh-CN"/>
        </w:rPr>
        <w:t>11</w:t>
      </w:r>
      <w:r>
        <w:rPr>
          <w:rFonts w:hint="eastAsia" w:asciiTheme="minorEastAsia" w:hAnsiTheme="minorEastAsia" w:eastAsiaTheme="minorEastAsia"/>
          <w:sz w:val="24"/>
        </w:rPr>
        <w:t>点</w:t>
      </w:r>
    </w:p>
    <w:p>
      <w:pPr>
        <w:spacing w:line="520" w:lineRule="exact"/>
        <w:ind w:firstLine="600" w:firstLineChars="250"/>
        <w:rPr>
          <w:rFonts w:asciiTheme="minorEastAsia" w:hAnsiTheme="minorEastAsia" w:eastAsiaTheme="minorEastAsia"/>
          <w:sz w:val="24"/>
        </w:rPr>
      </w:pPr>
      <w:r>
        <w:rPr>
          <w:rFonts w:hint="eastAsia" w:asciiTheme="minorEastAsia" w:hAnsiTheme="minorEastAsia" w:eastAsiaTheme="minorEastAsia"/>
          <w:sz w:val="24"/>
        </w:rPr>
        <w:t>1.3.2</w:t>
      </w:r>
      <w:r>
        <w:rPr>
          <w:rFonts w:asciiTheme="minorEastAsia" w:hAnsiTheme="minorEastAsia" w:eastAsiaTheme="minorEastAsia"/>
          <w:sz w:val="24"/>
        </w:rPr>
        <w:t>投标截止时间：</w:t>
      </w:r>
      <w:r>
        <w:rPr>
          <w:rFonts w:hint="eastAsia" w:asciiTheme="minorEastAsia" w:hAnsiTheme="minorEastAsia" w:eastAsiaTheme="minorEastAsia"/>
          <w:sz w:val="24"/>
        </w:rPr>
        <w:t>2023年7月</w:t>
      </w: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上</w:t>
      </w:r>
      <w:r>
        <w:rPr>
          <w:rFonts w:hint="eastAsia" w:asciiTheme="minorEastAsia" w:hAnsiTheme="minorEastAsia" w:eastAsiaTheme="minorEastAsia"/>
          <w:sz w:val="24"/>
        </w:rPr>
        <w:t>午</w:t>
      </w:r>
      <w:r>
        <w:rPr>
          <w:rFonts w:hint="eastAsia" w:asciiTheme="minorEastAsia" w:hAnsiTheme="minorEastAsia" w:eastAsiaTheme="minorEastAsia"/>
          <w:sz w:val="24"/>
          <w:lang w:val="en-US" w:eastAsia="zh-CN"/>
        </w:rPr>
        <w:t>11</w:t>
      </w:r>
      <w:r>
        <w:rPr>
          <w:rFonts w:hint="eastAsia" w:asciiTheme="minorEastAsia" w:hAnsiTheme="minorEastAsia" w:eastAsiaTheme="minorEastAsia"/>
          <w:sz w:val="24"/>
        </w:rPr>
        <w:t>点整</w:t>
      </w:r>
    </w:p>
    <w:p>
      <w:pPr>
        <w:numPr>
          <w:ilvl w:val="0"/>
          <w:numId w:val="1"/>
        </w:numPr>
        <w:tabs>
          <w:tab w:val="left" w:pos="0"/>
        </w:tabs>
        <w:spacing w:line="520" w:lineRule="exact"/>
        <w:ind w:hanging="540"/>
        <w:rPr>
          <w:rFonts w:asciiTheme="minorEastAsia" w:hAnsiTheme="minorEastAsia" w:eastAsiaTheme="minorEastAsia"/>
          <w:sz w:val="24"/>
        </w:rPr>
      </w:pPr>
      <w:r>
        <w:rPr>
          <w:rFonts w:asciiTheme="minorEastAsia" w:hAnsiTheme="minorEastAsia" w:eastAsiaTheme="minorEastAsia"/>
          <w:sz w:val="24"/>
        </w:rPr>
        <w:t>信息发布</w:t>
      </w:r>
      <w:r>
        <w:rPr>
          <w:rFonts w:hint="eastAsia" w:asciiTheme="minorEastAsia" w:hAnsiTheme="minorEastAsia" w:eastAsiaTheme="minorEastAsia"/>
          <w:sz w:val="24"/>
        </w:rPr>
        <w:t>媒体</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凡与本项目相关的澄清、变更、以及中标公示、成交结果等信息均发布在广东财经大学佛山校区</w:t>
      </w:r>
      <w:r>
        <w:rPr>
          <w:rFonts w:hint="eastAsia" w:asciiTheme="minorEastAsia" w:hAnsiTheme="minorEastAsia" w:eastAsiaTheme="minorEastAsia"/>
          <w:spacing w:val="-12"/>
          <w:sz w:val="24"/>
        </w:rPr>
        <w:t>网站</w:t>
      </w:r>
      <w:r>
        <w:rPr>
          <w:rFonts w:hint="eastAsia" w:asciiTheme="minorEastAsia" w:hAnsiTheme="minorEastAsia" w:eastAsiaTheme="minorEastAsia"/>
          <w:sz w:val="24"/>
        </w:rPr>
        <w:t>和学校公告栏。如有不一致，以发布在广东财经大学佛山校区网站的文本为准。</w:t>
      </w:r>
    </w:p>
    <w:p>
      <w:pPr>
        <w:numPr>
          <w:ilvl w:val="0"/>
          <w:numId w:val="1"/>
        </w:numPr>
        <w:tabs>
          <w:tab w:val="left" w:pos="0"/>
        </w:tabs>
        <w:spacing w:line="520" w:lineRule="exact"/>
        <w:ind w:hanging="540"/>
        <w:rPr>
          <w:rFonts w:asciiTheme="minorEastAsia" w:hAnsiTheme="minorEastAsia" w:eastAsiaTheme="minorEastAsia"/>
          <w:sz w:val="24"/>
        </w:rPr>
      </w:pPr>
      <w:r>
        <w:rPr>
          <w:rFonts w:hint="eastAsia" w:asciiTheme="minorEastAsia" w:hAnsiTheme="minorEastAsia" w:eastAsiaTheme="minorEastAsia"/>
          <w:sz w:val="24"/>
        </w:rPr>
        <w:t>期望得到的协助与配合</w:t>
      </w:r>
    </w:p>
    <w:p>
      <w:pPr>
        <w:tabs>
          <w:tab w:val="left" w:pos="0"/>
        </w:tabs>
        <w:spacing w:line="520" w:lineRule="exact"/>
        <w:ind w:left="567" w:firstLine="480" w:firstLineChars="200"/>
        <w:rPr>
          <w:rFonts w:asciiTheme="minorEastAsia" w:hAnsiTheme="minorEastAsia" w:eastAsiaTheme="minorEastAsia"/>
          <w:sz w:val="24"/>
        </w:rPr>
      </w:pPr>
      <w:r>
        <w:rPr>
          <w:rFonts w:hint="eastAsia" w:asciiTheme="minorEastAsia" w:hAnsiTheme="minorEastAsia" w:eastAsiaTheme="minorEastAsia"/>
          <w:sz w:val="24"/>
        </w:rPr>
        <w:t>为了提高招标采购效率，节约社会交易成本及时间，希望报名并确定参与招标，而后又决定不参加本次招标的投标人，请在投标截止时间3天前按下述联系方式书面告知我们</w:t>
      </w:r>
      <w:r>
        <w:rPr>
          <w:rFonts w:hint="eastAsia" w:ascii="宋体" w:hAnsi="宋体" w:cs="Tahoma"/>
          <w:color w:val="000000"/>
          <w:sz w:val="24"/>
        </w:rPr>
        <w:t>（</w:t>
      </w:r>
      <w:r>
        <w:rPr>
          <w:rFonts w:hint="eastAsia" w:ascii="宋体" w:hAnsi="宋体" w:cs="Tahoma"/>
          <w:b/>
          <w:color w:val="000000"/>
          <w:sz w:val="24"/>
        </w:rPr>
        <w:t>联系人：余老师，办公电话：0757-8782</w:t>
      </w:r>
      <w:r>
        <w:rPr>
          <w:rFonts w:hint="eastAsia" w:ascii="宋体" w:hAnsi="宋体" w:cs="Tahoma"/>
          <w:b/>
          <w:color w:val="000000"/>
          <w:sz w:val="24"/>
          <w:lang w:val="en-US" w:eastAsia="zh-CN"/>
        </w:rPr>
        <w:t>8965</w:t>
      </w:r>
      <w:r>
        <w:rPr>
          <w:rFonts w:hint="eastAsia" w:ascii="宋体" w:hAnsi="宋体" w:cs="Tahoma"/>
          <w:color w:val="000000"/>
          <w:sz w:val="24"/>
        </w:rPr>
        <w:t>）</w:t>
      </w:r>
      <w:r>
        <w:rPr>
          <w:rFonts w:hint="eastAsia" w:asciiTheme="minorEastAsia" w:hAnsiTheme="minorEastAsia" w:eastAsiaTheme="minorEastAsia"/>
          <w:sz w:val="23"/>
          <w:szCs w:val="23"/>
        </w:rPr>
        <w:t>。</w:t>
      </w:r>
      <w:r>
        <w:rPr>
          <w:rFonts w:hint="eastAsia" w:asciiTheme="minorEastAsia" w:hAnsiTheme="minorEastAsia" w:eastAsiaTheme="minorEastAsia"/>
          <w:sz w:val="24"/>
        </w:rPr>
        <w:t>对您的支持与配合，谨表谢意。</w:t>
      </w:r>
    </w:p>
    <w:p>
      <w:pPr>
        <w:tabs>
          <w:tab w:val="left" w:pos="0"/>
        </w:tabs>
        <w:spacing w:line="520" w:lineRule="exact"/>
        <w:ind w:firstLine="482" w:firstLineChars="200"/>
        <w:rPr>
          <w:rFonts w:ascii="宋体" w:hAnsi="宋体" w:cs="宋体"/>
          <w:b/>
          <w:color w:val="000000"/>
          <w:sz w:val="24"/>
        </w:rPr>
      </w:pPr>
      <w:r>
        <w:rPr>
          <w:rFonts w:hint="eastAsia" w:ascii="宋体" w:hAnsi="宋体" w:cs="宋体"/>
          <w:b/>
          <w:color w:val="000000"/>
          <w:sz w:val="24"/>
        </w:rPr>
        <w:t>1.6注意事项</w:t>
      </w:r>
    </w:p>
    <w:p>
      <w:pPr>
        <w:pStyle w:val="169"/>
        <w:spacing w:line="500" w:lineRule="exact"/>
        <w:ind w:firstLine="480" w:firstLineChars="200"/>
        <w:rPr>
          <w:rFonts w:ascii="宋体" w:hAnsi="宋体" w:eastAsia="宋体" w:cs="宋体"/>
          <w:sz w:val="24"/>
          <w:szCs w:val="24"/>
          <w:shd w:val="clear" w:color="auto" w:fill="FFFFFF"/>
          <w:lang w:val="zh-TW" w:eastAsia="zh-TW"/>
        </w:rPr>
      </w:pPr>
      <w:r>
        <w:rPr>
          <w:rFonts w:hint="eastAsia" w:ascii="宋体" w:hAnsi="宋体" w:eastAsia="宋体" w:cs="宋体"/>
          <w:sz w:val="24"/>
          <w:szCs w:val="24"/>
        </w:rPr>
        <w:t>因疫情防控需要，投标人进入学校及投标须满足以下条件：</w:t>
      </w:r>
    </w:p>
    <w:p>
      <w:pPr>
        <w:pStyle w:val="169"/>
        <w:spacing w:line="500" w:lineRule="exact"/>
        <w:ind w:firstLine="480" w:firstLineChars="200"/>
        <w:rPr>
          <w:rFonts w:ascii="宋体" w:hAnsi="宋体" w:eastAsia="宋体" w:cs="宋体"/>
          <w:b/>
          <w:bCs/>
          <w:sz w:val="24"/>
          <w:szCs w:val="24"/>
        </w:rPr>
      </w:pPr>
      <w:r>
        <w:rPr>
          <w:rFonts w:hint="eastAsia" w:ascii="宋体" w:hAnsi="宋体" w:eastAsia="宋体" w:cs="宋体"/>
          <w:sz w:val="24"/>
          <w:szCs w:val="24"/>
        </w:rPr>
        <w:t>1.6.1请各投标人提前一天联系：</w:t>
      </w:r>
      <w:r>
        <w:rPr>
          <w:rFonts w:hint="eastAsia" w:ascii="宋体" w:hAnsi="宋体" w:cs="Tahoma"/>
          <w:b/>
          <w:sz w:val="24"/>
        </w:rPr>
        <w:t>余老师</w:t>
      </w:r>
      <w:r>
        <w:rPr>
          <w:rFonts w:hint="eastAsia" w:ascii="宋体" w:hAnsi="宋体" w:eastAsia="宋体" w:cs="宋体"/>
          <w:sz w:val="24"/>
          <w:szCs w:val="24"/>
        </w:rPr>
        <w:t>联系电话：0757-8782</w:t>
      </w:r>
      <w:r>
        <w:rPr>
          <w:rFonts w:hint="eastAsia" w:ascii="宋体" w:hAnsi="宋体" w:eastAsia="宋体" w:cs="宋体"/>
          <w:sz w:val="24"/>
          <w:szCs w:val="24"/>
          <w:lang w:val="en-US" w:eastAsia="zh-CN"/>
        </w:rPr>
        <w:t>8965</w:t>
      </w:r>
      <w:r>
        <w:rPr>
          <w:rFonts w:hint="eastAsia" w:ascii="宋体" w:hAnsi="宋体" w:eastAsia="宋体" w:cs="宋体"/>
          <w:sz w:val="24"/>
          <w:szCs w:val="24"/>
        </w:rPr>
        <w:t>/1</w:t>
      </w:r>
      <w:r>
        <w:rPr>
          <w:rFonts w:hint="eastAsia" w:ascii="宋体" w:hAnsi="宋体" w:eastAsia="宋体" w:cs="宋体"/>
          <w:sz w:val="24"/>
          <w:szCs w:val="24"/>
          <w:lang w:val="en-US" w:eastAsia="zh-CN"/>
        </w:rPr>
        <w:t>5625015507</w:t>
      </w:r>
      <w:r>
        <w:rPr>
          <w:rFonts w:hint="eastAsia" w:ascii="宋体" w:hAnsi="宋体" w:eastAsia="宋体" w:cs="宋体"/>
          <w:sz w:val="24"/>
          <w:szCs w:val="24"/>
        </w:rPr>
        <w:t>进行入校投标报备。</w:t>
      </w:r>
      <w:r>
        <w:rPr>
          <w:rFonts w:hint="eastAsia" w:ascii="宋体" w:hAnsi="宋体" w:eastAsia="宋体" w:cs="宋体"/>
          <w:b/>
          <w:bCs/>
          <w:sz w:val="24"/>
          <w:szCs w:val="24"/>
        </w:rPr>
        <w:t>不按规定，无法入校，责任自担。</w:t>
      </w:r>
    </w:p>
    <w:p>
      <w:pPr>
        <w:pStyle w:val="169"/>
        <w:spacing w:line="500" w:lineRule="exact"/>
        <w:ind w:firstLine="480" w:firstLineChars="200"/>
        <w:rPr>
          <w:rFonts w:ascii="宋体" w:hAnsi="宋体" w:eastAsia="宋体" w:cs="宋体"/>
          <w:b/>
          <w:sz w:val="24"/>
        </w:rPr>
      </w:pPr>
      <w:r>
        <w:rPr>
          <w:rFonts w:hint="eastAsia" w:ascii="宋体" w:hAnsi="宋体" w:eastAsia="宋体" w:cs="宋体"/>
          <w:sz w:val="24"/>
          <w:szCs w:val="24"/>
        </w:rPr>
        <w:t>1.6.2投标人须遵守学校疫情防控相关要求，有序进学校，不聚集聊天，与人保持间隔1米以上。</w:t>
      </w:r>
    </w:p>
    <w:p>
      <w:pPr>
        <w:pStyle w:val="169"/>
        <w:spacing w:line="500" w:lineRule="exact"/>
        <w:ind w:firstLine="480" w:firstLineChars="200"/>
        <w:rPr>
          <w:rFonts w:ascii="宋体" w:hAnsi="宋体" w:eastAsia="宋体" w:cs="宋体"/>
          <w:sz w:val="23"/>
          <w:szCs w:val="23"/>
        </w:rPr>
      </w:pPr>
      <w:r>
        <w:rPr>
          <w:rFonts w:hint="eastAsia" w:ascii="宋体" w:hAnsi="宋体" w:eastAsia="宋体" w:cs="宋体"/>
          <w:sz w:val="24"/>
          <w:szCs w:val="24"/>
        </w:rPr>
        <w:t>1.6.3递交投标文件结束后，投标人应立即离开学校。</w:t>
      </w:r>
    </w:p>
    <w:p>
      <w:pPr>
        <w:pStyle w:val="42"/>
        <w:ind w:firstLine="210"/>
      </w:pPr>
    </w:p>
    <w:p>
      <w:pPr>
        <w:numPr>
          <w:ilvl w:val="0"/>
          <w:numId w:val="1"/>
        </w:numPr>
        <w:tabs>
          <w:tab w:val="left" w:pos="0"/>
        </w:tabs>
        <w:spacing w:line="520" w:lineRule="exact"/>
        <w:ind w:hanging="540"/>
        <w:rPr>
          <w:rFonts w:asciiTheme="minorEastAsia" w:hAnsiTheme="minorEastAsia" w:eastAsiaTheme="minorEastAsia"/>
          <w:sz w:val="24"/>
        </w:rPr>
      </w:pPr>
      <w:r>
        <w:rPr>
          <w:rFonts w:hint="eastAsia" w:asciiTheme="minorEastAsia" w:hAnsiTheme="minorEastAsia" w:eastAsiaTheme="minorEastAsia"/>
          <w:sz w:val="24"/>
        </w:rPr>
        <w:t>招标人及联系方式</w:t>
      </w:r>
    </w:p>
    <w:tbl>
      <w:tblPr>
        <w:tblStyle w:val="43"/>
        <w:tblW w:w="8460" w:type="dxa"/>
        <w:jc w:val="center"/>
        <w:tblLayout w:type="fixed"/>
        <w:tblCellMar>
          <w:top w:w="0" w:type="dxa"/>
          <w:left w:w="108" w:type="dxa"/>
          <w:bottom w:w="0" w:type="dxa"/>
          <w:right w:w="108" w:type="dxa"/>
        </w:tblCellMar>
      </w:tblPr>
      <w:tblGrid>
        <w:gridCol w:w="562"/>
        <w:gridCol w:w="1598"/>
        <w:gridCol w:w="2261"/>
        <w:gridCol w:w="1564"/>
        <w:gridCol w:w="2475"/>
      </w:tblGrid>
      <w:tr>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rPr>
            </w:pPr>
            <w:r>
              <w:rPr>
                <w:rFonts w:hint="eastAsia" w:asciiTheme="minorEastAsia" w:hAnsiTheme="minorEastAsia" w:eastAsiaTheme="minorEastAsia"/>
                <w:sz w:val="24"/>
              </w:rPr>
              <w:t>招标人：</w:t>
            </w:r>
          </w:p>
        </w:tc>
        <w:tc>
          <w:tcPr>
            <w:tcW w:w="2261" w:type="dxa"/>
          </w:tcPr>
          <w:p>
            <w:pPr>
              <w:spacing w:line="520" w:lineRule="exact"/>
              <w:rPr>
                <w:rFonts w:asciiTheme="minorEastAsia" w:hAnsiTheme="minorEastAsia" w:eastAsiaTheme="minorEastAsia"/>
                <w:sz w:val="24"/>
              </w:rPr>
            </w:pPr>
            <w:r>
              <w:rPr>
                <w:rFonts w:hint="eastAsia" w:asciiTheme="minorEastAsia" w:hAnsiTheme="minorEastAsia" w:eastAsiaTheme="minorEastAsia"/>
                <w:sz w:val="24"/>
              </w:rPr>
              <w:t>广东财经大学</w:t>
            </w:r>
          </w:p>
        </w:tc>
        <w:tc>
          <w:tcPr>
            <w:tcW w:w="1564" w:type="dxa"/>
          </w:tcPr>
          <w:p>
            <w:pPr>
              <w:spacing w:line="520" w:lineRule="exact"/>
              <w:jc w:val="distribute"/>
              <w:rPr>
                <w:rFonts w:asciiTheme="minorEastAsia" w:hAnsiTheme="minorEastAsia" w:eastAsiaTheme="minorEastAsia"/>
                <w:sz w:val="24"/>
              </w:rPr>
            </w:pPr>
            <w:r>
              <w:rPr>
                <w:rFonts w:hint="eastAsia" w:asciiTheme="minorEastAsia" w:hAnsiTheme="minorEastAsia" w:eastAsiaTheme="minorEastAsia"/>
                <w:sz w:val="24"/>
              </w:rPr>
              <w:t>联系人：</w:t>
            </w:r>
          </w:p>
        </w:tc>
        <w:tc>
          <w:tcPr>
            <w:tcW w:w="2475" w:type="dxa"/>
          </w:tcPr>
          <w:p>
            <w:pPr>
              <w:spacing w:line="520" w:lineRule="exact"/>
              <w:rPr>
                <w:rFonts w:asciiTheme="minorEastAsia" w:hAnsiTheme="minorEastAsia" w:eastAsiaTheme="minorEastAsia"/>
                <w:sz w:val="24"/>
              </w:rPr>
            </w:pPr>
            <w:r>
              <w:rPr>
                <w:rFonts w:hint="eastAsia" w:asciiTheme="minorEastAsia" w:hAnsiTheme="minorEastAsia" w:eastAsiaTheme="minorEastAsia"/>
                <w:sz w:val="24"/>
              </w:rPr>
              <w:t>余老师</w:t>
            </w:r>
          </w:p>
        </w:tc>
      </w:tr>
      <w:tr>
        <w:tblPrEx>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rPr>
            </w:pPr>
            <w:r>
              <w:rPr>
                <w:rFonts w:hint="eastAsia" w:asciiTheme="minorEastAsia" w:hAnsiTheme="minorEastAsia" w:eastAsiaTheme="minorEastAsia"/>
                <w:sz w:val="24"/>
              </w:rPr>
              <w:t>联系电话：</w:t>
            </w:r>
          </w:p>
        </w:tc>
        <w:tc>
          <w:tcPr>
            <w:tcW w:w="2261" w:type="dxa"/>
          </w:tcPr>
          <w:p>
            <w:pPr>
              <w:spacing w:line="520" w:lineRule="exact"/>
              <w:rPr>
                <w:rFonts w:asciiTheme="minorEastAsia" w:hAnsiTheme="minorEastAsia" w:eastAsiaTheme="minorEastAsia"/>
                <w:sz w:val="24"/>
              </w:rPr>
            </w:pPr>
            <w:r>
              <w:rPr>
                <w:rFonts w:hint="eastAsia" w:asciiTheme="minorEastAsia" w:hAnsiTheme="minorEastAsia" w:eastAsiaTheme="minorEastAsia"/>
                <w:sz w:val="24"/>
              </w:rPr>
              <w:t>0757-87828</w:t>
            </w:r>
            <w:r>
              <w:rPr>
                <w:rFonts w:hint="eastAsia" w:asciiTheme="minorEastAsia" w:hAnsiTheme="minorEastAsia" w:eastAsiaTheme="minorEastAsia"/>
                <w:sz w:val="24"/>
                <w:lang w:val="en-US" w:eastAsia="zh-CN"/>
              </w:rPr>
              <w:t>965</w:t>
            </w:r>
            <w:r>
              <w:rPr>
                <w:rFonts w:hint="eastAsia" w:asciiTheme="minorEastAsia" w:hAnsiTheme="minorEastAsia" w:eastAsiaTheme="minorEastAsia"/>
                <w:sz w:val="24"/>
              </w:rPr>
              <w:t xml:space="preserve">      </w:t>
            </w:r>
          </w:p>
        </w:tc>
        <w:tc>
          <w:tcPr>
            <w:tcW w:w="1564" w:type="dxa"/>
          </w:tcPr>
          <w:p>
            <w:pPr>
              <w:spacing w:line="520" w:lineRule="exact"/>
              <w:jc w:val="distribute"/>
              <w:rPr>
                <w:rFonts w:asciiTheme="minorEastAsia" w:hAnsiTheme="minorEastAsia" w:eastAsiaTheme="minorEastAsia"/>
                <w:sz w:val="23"/>
                <w:szCs w:val="23"/>
              </w:rPr>
            </w:pPr>
          </w:p>
        </w:tc>
        <w:tc>
          <w:tcPr>
            <w:tcW w:w="2475" w:type="dxa"/>
          </w:tcPr>
          <w:p>
            <w:pPr>
              <w:spacing w:line="520" w:lineRule="exact"/>
              <w:rPr>
                <w:rFonts w:asciiTheme="minorEastAsia" w:hAnsiTheme="minorEastAsia" w:eastAsiaTheme="minorEastAsia"/>
                <w:sz w:val="23"/>
                <w:szCs w:val="23"/>
              </w:rPr>
            </w:pPr>
          </w:p>
        </w:tc>
      </w:tr>
      <w:tr>
        <w:tblPrEx>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rPr>
            </w:pPr>
            <w:r>
              <w:rPr>
                <w:rFonts w:hint="eastAsia" w:asciiTheme="minorEastAsia" w:hAnsiTheme="minorEastAsia" w:eastAsiaTheme="minorEastAsia"/>
                <w:sz w:val="24"/>
                <w:lang w:val="zh-CN"/>
              </w:rPr>
              <w:t>联系地址：</w:t>
            </w:r>
          </w:p>
        </w:tc>
        <w:tc>
          <w:tcPr>
            <w:tcW w:w="6300" w:type="dxa"/>
            <w:gridSpan w:val="3"/>
          </w:tcPr>
          <w:p>
            <w:pPr>
              <w:spacing w:line="520" w:lineRule="exact"/>
              <w:jc w:val="left"/>
              <w:rPr>
                <w:rFonts w:asciiTheme="minorEastAsia" w:hAnsiTheme="minorEastAsia" w:eastAsiaTheme="minorEastAsia"/>
                <w:sz w:val="24"/>
                <w:lang w:val="zh-CN"/>
              </w:rPr>
            </w:pPr>
            <w:r>
              <w:rPr>
                <w:rFonts w:hint="eastAsia" w:ascii="宋体" w:hAnsi="宋体" w:cs="宋体"/>
                <w:sz w:val="24"/>
              </w:rPr>
              <w:t>广东财经大学佛山校区（佛山市三水区云东海街道学海路1号厚德楼2</w:t>
            </w:r>
            <w:r>
              <w:rPr>
                <w:rFonts w:hint="eastAsia" w:ascii="宋体" w:hAnsi="宋体" w:cs="宋体"/>
                <w:sz w:val="24"/>
                <w:lang w:val="en-US" w:eastAsia="zh-CN"/>
              </w:rPr>
              <w:t>12</w:t>
            </w:r>
            <w:r>
              <w:rPr>
                <w:rFonts w:hint="eastAsia" w:ascii="宋体" w:hAnsi="宋体" w:cs="宋体"/>
                <w:sz w:val="24"/>
              </w:rPr>
              <w:t>室）</w:t>
            </w:r>
          </w:p>
        </w:tc>
      </w:tr>
    </w:tbl>
    <w:p>
      <w:pPr>
        <w:pStyle w:val="3"/>
        <w:rPr>
          <w:rFonts w:asciiTheme="minorEastAsia" w:hAnsiTheme="minorEastAsia" w:eastAsiaTheme="minorEastAsia"/>
          <w:b w:val="0"/>
          <w:sz w:val="23"/>
          <w:szCs w:val="23"/>
        </w:rPr>
      </w:pPr>
    </w:p>
    <w:p>
      <w:pPr>
        <w:jc w:val="center"/>
        <w:rPr>
          <w:rFonts w:asciiTheme="minorEastAsia" w:hAnsiTheme="minorEastAsia" w:eastAsiaTheme="minorEastAsia"/>
          <w:sz w:val="23"/>
          <w:szCs w:val="23"/>
        </w:rPr>
      </w:pPr>
    </w:p>
    <w:p>
      <w:pPr>
        <w:jc w:val="left"/>
        <w:rPr>
          <w:rFonts w:asciiTheme="minorEastAsia" w:hAnsiTheme="minorEastAsia" w:eastAsiaTheme="minorEastAsia"/>
          <w:sz w:val="32"/>
          <w:szCs w:val="23"/>
        </w:rPr>
        <w:sectPr>
          <w:footerReference r:id="rId8" w:type="first"/>
          <w:headerReference r:id="rId6" w:type="default"/>
          <w:footerReference r:id="rId7" w:type="default"/>
          <w:pgSz w:w="11907" w:h="16840"/>
          <w:pgMar w:top="1440" w:right="1467" w:bottom="1440" w:left="1758" w:header="851" w:footer="992" w:gutter="0"/>
          <w:pgNumType w:chapStyle="1"/>
          <w:cols w:space="720" w:num="1"/>
          <w:titlePg/>
          <w:docGrid w:type="lines" w:linePitch="312" w:charSpace="0"/>
        </w:sectPr>
      </w:pPr>
      <w:bookmarkStart w:id="1" w:name="_Toc280272729"/>
      <w:bookmarkStart w:id="2" w:name="_Toc298325850"/>
      <w:bookmarkStart w:id="3" w:name="OLE_LINK44"/>
    </w:p>
    <w:p>
      <w:pPr>
        <w:pStyle w:val="3"/>
      </w:pPr>
      <w:bookmarkStart w:id="4" w:name="_Toc21471"/>
      <w:r>
        <w:rPr>
          <w:rFonts w:hint="eastAsia"/>
        </w:rPr>
        <w:t>第二部分  项目内容及需求</w:t>
      </w:r>
      <w:bookmarkEnd w:id="1"/>
      <w:bookmarkEnd w:id="4"/>
    </w:p>
    <w:bookmarkEnd w:id="2"/>
    <w:bookmarkEnd w:id="3"/>
    <w:p>
      <w:pPr>
        <w:pStyle w:val="94"/>
        <w:spacing w:line="360" w:lineRule="auto"/>
        <w:ind w:left="142" w:firstLine="0" w:firstLineChars="0"/>
        <w:rPr>
          <w:rFonts w:cs="Times New Roman" w:asciiTheme="majorEastAsia" w:hAnsiTheme="majorEastAsia" w:eastAsiaTheme="majorEastAsia"/>
          <w:b/>
          <w:sz w:val="24"/>
        </w:rPr>
      </w:pPr>
      <w:bookmarkStart w:id="5" w:name="_Toc476156709"/>
      <w:bookmarkStart w:id="6" w:name="_Toc475456406"/>
      <w:bookmarkStart w:id="7" w:name="_Toc475463107"/>
      <w:bookmarkStart w:id="8" w:name="_Toc475462269"/>
      <w:bookmarkStart w:id="9" w:name="_Toc477536153"/>
      <w:r>
        <w:rPr>
          <w:rFonts w:cs="Times New Roman" w:asciiTheme="majorEastAsia" w:hAnsiTheme="majorEastAsia" w:eastAsiaTheme="majorEastAsia"/>
          <w:b/>
          <w:sz w:val="24"/>
        </w:rPr>
        <w:t>2.1项目概况</w:t>
      </w:r>
    </w:p>
    <w:p>
      <w:pPr>
        <w:spacing w:line="276" w:lineRule="auto"/>
        <w:ind w:firstLine="480" w:firstLineChars="200"/>
        <w:rPr>
          <w:rFonts w:asciiTheme="majorEastAsia" w:hAnsiTheme="majorEastAsia" w:eastAsiaTheme="majorEastAsia"/>
          <w:b/>
          <w:color w:val="000000"/>
          <w:sz w:val="24"/>
        </w:rPr>
      </w:pPr>
      <w:r>
        <w:rPr>
          <w:rFonts w:hint="eastAsia" w:asciiTheme="majorEastAsia" w:hAnsiTheme="majorEastAsia" w:eastAsiaTheme="majorEastAsia"/>
          <w:bCs/>
          <w:color w:val="000000"/>
          <w:sz w:val="24"/>
        </w:rPr>
        <w:t>1.项目名称：</w:t>
      </w:r>
      <w:r>
        <w:rPr>
          <w:rFonts w:hint="eastAsia" w:asciiTheme="majorEastAsia" w:hAnsiTheme="majorEastAsia" w:eastAsiaTheme="majorEastAsia"/>
          <w:b/>
          <w:color w:val="000000"/>
          <w:sz w:val="24"/>
        </w:rPr>
        <w:t>佛山校区2023-2024年计算机及办公设备维修保养服务项目</w:t>
      </w:r>
    </w:p>
    <w:p>
      <w:pPr>
        <w:spacing w:line="276" w:lineRule="auto"/>
        <w:ind w:firstLine="480" w:firstLineChars="200"/>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2.服务期限：1年（2023年</w:t>
      </w:r>
      <w:r>
        <w:rPr>
          <w:rFonts w:hint="eastAsia" w:asciiTheme="majorEastAsia" w:hAnsiTheme="majorEastAsia" w:eastAsiaTheme="majorEastAsia"/>
          <w:bCs/>
          <w:color w:val="000000"/>
          <w:sz w:val="24"/>
          <w:lang w:val="en-US" w:eastAsia="zh-CN"/>
        </w:rPr>
        <w:t>9</w:t>
      </w:r>
      <w:r>
        <w:rPr>
          <w:rFonts w:hint="eastAsia" w:asciiTheme="majorEastAsia" w:hAnsiTheme="majorEastAsia" w:eastAsiaTheme="majorEastAsia"/>
          <w:bCs/>
          <w:color w:val="000000"/>
          <w:sz w:val="24"/>
        </w:rPr>
        <w:t>月</w:t>
      </w:r>
      <w:r>
        <w:rPr>
          <w:rFonts w:hint="eastAsia" w:asciiTheme="majorEastAsia" w:hAnsiTheme="majorEastAsia" w:eastAsiaTheme="majorEastAsia"/>
          <w:bCs/>
          <w:color w:val="000000"/>
          <w:sz w:val="24"/>
          <w:lang w:val="en-US" w:eastAsia="zh-CN"/>
        </w:rPr>
        <w:t>8</w:t>
      </w:r>
      <w:r>
        <w:rPr>
          <w:rFonts w:hint="eastAsia" w:asciiTheme="majorEastAsia" w:hAnsiTheme="majorEastAsia" w:eastAsiaTheme="majorEastAsia"/>
          <w:bCs/>
          <w:color w:val="000000"/>
          <w:sz w:val="24"/>
        </w:rPr>
        <w:t>日-2024年</w:t>
      </w:r>
      <w:r>
        <w:rPr>
          <w:rFonts w:hint="eastAsia" w:asciiTheme="majorEastAsia" w:hAnsiTheme="majorEastAsia" w:eastAsiaTheme="majorEastAsia"/>
          <w:bCs/>
          <w:color w:val="000000"/>
          <w:sz w:val="24"/>
          <w:lang w:val="en-US" w:eastAsia="zh-CN"/>
        </w:rPr>
        <w:t>9</w:t>
      </w:r>
      <w:r>
        <w:rPr>
          <w:rFonts w:hint="eastAsia" w:asciiTheme="majorEastAsia" w:hAnsiTheme="majorEastAsia" w:eastAsiaTheme="majorEastAsia"/>
          <w:bCs/>
          <w:color w:val="000000"/>
          <w:sz w:val="24"/>
        </w:rPr>
        <w:t>月</w:t>
      </w:r>
      <w:r>
        <w:rPr>
          <w:rFonts w:hint="eastAsia" w:asciiTheme="majorEastAsia" w:hAnsiTheme="majorEastAsia" w:eastAsiaTheme="majorEastAsia"/>
          <w:bCs/>
          <w:color w:val="000000"/>
          <w:sz w:val="24"/>
          <w:lang w:val="en-US" w:eastAsia="zh-CN"/>
        </w:rPr>
        <w:t>7</w:t>
      </w:r>
      <w:r>
        <w:rPr>
          <w:rFonts w:hint="eastAsia" w:asciiTheme="majorEastAsia" w:hAnsiTheme="majorEastAsia" w:eastAsiaTheme="majorEastAsia"/>
          <w:bCs/>
          <w:color w:val="000000"/>
          <w:sz w:val="24"/>
        </w:rPr>
        <w:t>日）</w:t>
      </w:r>
    </w:p>
    <w:p>
      <w:pPr>
        <w:spacing w:line="276" w:lineRule="auto"/>
        <w:ind w:firstLine="480" w:firstLineChars="200"/>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3.项目预算：最高</w:t>
      </w:r>
      <w:r>
        <w:rPr>
          <w:rFonts w:hint="eastAsia" w:asciiTheme="majorEastAsia" w:hAnsiTheme="majorEastAsia" w:eastAsiaTheme="majorEastAsia"/>
          <w:bCs/>
          <w:color w:val="000000"/>
          <w:sz w:val="24"/>
          <w:lang w:val="en-US" w:eastAsia="zh-CN"/>
        </w:rPr>
        <w:t>预算价</w:t>
      </w:r>
      <w:r>
        <w:rPr>
          <w:rFonts w:hint="eastAsia" w:asciiTheme="majorEastAsia" w:hAnsiTheme="majorEastAsia" w:eastAsiaTheme="majorEastAsia"/>
          <w:bCs/>
          <w:color w:val="000000"/>
          <w:sz w:val="24"/>
        </w:rPr>
        <w:t>为人民币约98000元，超过为无效报价。</w:t>
      </w:r>
    </w:p>
    <w:p>
      <w:pPr>
        <w:spacing w:line="276" w:lineRule="auto"/>
        <w:ind w:firstLine="480" w:firstLineChars="200"/>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4.预算及报价费用包括：服务商根据采购人要求到达设备现场进行维修服务所产生的所有费用，包含：派驻人员产生的所有费用、更换设备零配件费（含复印机定影组件）、设备维修服务费、外出办事费用、设备送修的交通费、保险费、技术培训费以及各种税费等所有完成本项目所产生的任何费用，不得在投标报价之外还有其他费用出现。因用户要求的硬件升级费用由采购人承担，按实另行结算，不计入本次报价。</w:t>
      </w:r>
      <w:bookmarkStart w:id="10" w:name="_Toc171314397"/>
      <w:bookmarkStart w:id="11" w:name="_Toc311122994"/>
      <w:bookmarkStart w:id="12" w:name="_Toc14464"/>
      <w:bookmarkStart w:id="13" w:name="_Toc462038317"/>
      <w:bookmarkStart w:id="14" w:name="_Toc189037796"/>
      <w:bookmarkStart w:id="15" w:name="_Toc10422"/>
    </w:p>
    <w:bookmarkEnd w:id="10"/>
    <w:bookmarkEnd w:id="11"/>
    <w:bookmarkEnd w:id="12"/>
    <w:bookmarkEnd w:id="13"/>
    <w:bookmarkEnd w:id="14"/>
    <w:bookmarkEnd w:id="15"/>
    <w:p>
      <w:pPr>
        <w:spacing w:line="276" w:lineRule="auto"/>
        <w:ind w:firstLine="480" w:firstLineChars="200"/>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5.服务地点：广东财经大学佛山校区（广东省佛山市三水区云东海街道学海中路1号广东财经大学佛山校区）。</w:t>
      </w:r>
    </w:p>
    <w:p>
      <w:pPr>
        <w:ind w:firstLine="480" w:firstLineChars="200"/>
        <w:rPr>
          <w:rFonts w:asciiTheme="majorEastAsia" w:hAnsiTheme="majorEastAsia" w:eastAsiaTheme="majorEastAsia"/>
          <w:sz w:val="24"/>
        </w:rPr>
      </w:pPr>
      <w:r>
        <w:rPr>
          <w:rFonts w:hint="eastAsia" w:asciiTheme="majorEastAsia" w:hAnsiTheme="majorEastAsia" w:eastAsiaTheme="majorEastAsia"/>
          <w:bCs/>
          <w:color w:val="000000"/>
          <w:sz w:val="24"/>
        </w:rPr>
        <w:t>6.项目简介与总体要求：本项目拟采购维修服务商一名，为广东财经大学佛山校区的计算机等设备提供维修保养服务，包括台式计算机、笔记本计算机、打印机、复印机、多功能一体机等设备，服务期限为1年（2023年</w:t>
      </w:r>
      <w:r>
        <w:rPr>
          <w:rFonts w:hint="eastAsia" w:asciiTheme="majorEastAsia" w:hAnsiTheme="majorEastAsia" w:eastAsiaTheme="majorEastAsia"/>
          <w:bCs/>
          <w:color w:val="000000"/>
          <w:sz w:val="24"/>
          <w:lang w:val="en-US" w:eastAsia="zh-CN"/>
        </w:rPr>
        <w:t>9</w:t>
      </w:r>
      <w:r>
        <w:rPr>
          <w:rFonts w:hint="eastAsia" w:asciiTheme="majorEastAsia" w:hAnsiTheme="majorEastAsia" w:eastAsiaTheme="majorEastAsia"/>
          <w:bCs/>
          <w:color w:val="000000"/>
          <w:sz w:val="24"/>
        </w:rPr>
        <w:t>月</w:t>
      </w:r>
      <w:r>
        <w:rPr>
          <w:rFonts w:hint="eastAsia" w:asciiTheme="majorEastAsia" w:hAnsiTheme="majorEastAsia" w:eastAsiaTheme="majorEastAsia"/>
          <w:bCs/>
          <w:color w:val="000000"/>
          <w:sz w:val="24"/>
          <w:lang w:val="en-US" w:eastAsia="zh-CN"/>
        </w:rPr>
        <w:t>8</w:t>
      </w:r>
      <w:r>
        <w:rPr>
          <w:rFonts w:hint="eastAsia" w:asciiTheme="majorEastAsia" w:hAnsiTheme="majorEastAsia" w:eastAsiaTheme="majorEastAsia"/>
          <w:bCs/>
          <w:color w:val="000000"/>
          <w:sz w:val="24"/>
        </w:rPr>
        <w:t>日至2024年</w:t>
      </w:r>
      <w:r>
        <w:rPr>
          <w:rFonts w:hint="eastAsia" w:asciiTheme="majorEastAsia" w:hAnsiTheme="majorEastAsia" w:eastAsiaTheme="majorEastAsia"/>
          <w:bCs/>
          <w:color w:val="000000"/>
          <w:sz w:val="24"/>
          <w:lang w:val="en-US" w:eastAsia="zh-CN"/>
        </w:rPr>
        <w:t>9</w:t>
      </w:r>
      <w:r>
        <w:rPr>
          <w:rFonts w:hint="eastAsia" w:asciiTheme="majorEastAsia" w:hAnsiTheme="majorEastAsia" w:eastAsiaTheme="majorEastAsia"/>
          <w:bCs/>
          <w:color w:val="000000"/>
          <w:sz w:val="24"/>
        </w:rPr>
        <w:t>月</w:t>
      </w:r>
      <w:r>
        <w:rPr>
          <w:rFonts w:hint="eastAsia" w:asciiTheme="majorEastAsia" w:hAnsiTheme="majorEastAsia" w:eastAsiaTheme="majorEastAsia"/>
          <w:bCs/>
          <w:color w:val="000000"/>
          <w:sz w:val="24"/>
          <w:lang w:val="en-US" w:eastAsia="zh-CN"/>
        </w:rPr>
        <w:t>7</w:t>
      </w:r>
      <w:r>
        <w:rPr>
          <w:rFonts w:hint="eastAsia" w:asciiTheme="majorEastAsia" w:hAnsiTheme="majorEastAsia" w:eastAsiaTheme="majorEastAsia"/>
          <w:bCs/>
          <w:color w:val="000000"/>
          <w:sz w:val="24"/>
        </w:rPr>
        <w:t>日）</w:t>
      </w:r>
    </w:p>
    <w:p>
      <w:pPr>
        <w:spacing w:line="360" w:lineRule="auto"/>
        <w:rPr>
          <w:rFonts w:cs="宋体" w:asciiTheme="majorEastAsia" w:hAnsiTheme="majorEastAsia" w:eastAsiaTheme="majorEastAsia"/>
          <w:b/>
          <w:bCs/>
          <w:color w:val="000000"/>
          <w:sz w:val="24"/>
        </w:rPr>
      </w:pPr>
      <w:r>
        <w:rPr>
          <w:rFonts w:asciiTheme="majorEastAsia" w:hAnsiTheme="majorEastAsia" w:eastAsiaTheme="majorEastAsia"/>
          <w:b/>
          <w:sz w:val="24"/>
        </w:rPr>
        <w:t>2.</w:t>
      </w:r>
      <w:r>
        <w:rPr>
          <w:rFonts w:hint="eastAsia" w:asciiTheme="majorEastAsia" w:hAnsiTheme="majorEastAsia" w:eastAsiaTheme="majorEastAsia"/>
          <w:b/>
          <w:sz w:val="24"/>
        </w:rPr>
        <w:t>2</w:t>
      </w:r>
      <w:r>
        <w:rPr>
          <w:rFonts w:hint="eastAsia" w:cs="宋体" w:asciiTheme="majorEastAsia" w:hAnsiTheme="majorEastAsia" w:eastAsiaTheme="majorEastAsia"/>
          <w:b/>
          <w:bCs/>
          <w:color w:val="000000"/>
          <w:sz w:val="24"/>
        </w:rPr>
        <w:t>设备类型及数量</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中标人负责维修保养佛山校区台式计算机、笔记本计算机、打印机、多功能一体机、复印机等设备1961台（具体见下表），在服务期内服务范围中的设备台数增减10%以内的，服务商均予以免费维修，合同总价不变；若超过10%，超出部分按投标的单台设备维修服务价增减总价格。</w:t>
      </w:r>
    </w:p>
    <w:p>
      <w:pPr>
        <w:spacing w:line="360" w:lineRule="auto"/>
        <w:ind w:firstLine="480" w:firstLineChars="200"/>
        <w:rPr>
          <w:rFonts w:asciiTheme="majorEastAsia" w:hAnsiTheme="majorEastAsia" w:eastAsiaTheme="majorEastAsia"/>
          <w:sz w:val="24"/>
        </w:rPr>
      </w:pPr>
      <w:bookmarkStart w:id="16" w:name="_Toc171314400"/>
      <w:r>
        <w:rPr>
          <w:rFonts w:hint="eastAsia" w:asciiTheme="majorEastAsia" w:hAnsiTheme="majorEastAsia" w:eastAsiaTheme="majorEastAsia"/>
          <w:sz w:val="24"/>
        </w:rPr>
        <w:t>具体设备数量清单如下表：</w:t>
      </w:r>
      <w:bookmarkEnd w:id="16"/>
    </w:p>
    <w:tbl>
      <w:tblPr>
        <w:tblStyle w:val="171"/>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515"/>
        <w:gridCol w:w="1500"/>
        <w:gridCol w:w="960"/>
        <w:gridCol w:w="945"/>
        <w:gridCol w:w="96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40" w:type="dxa"/>
            <w:vMerge w:val="restart"/>
          </w:tcPr>
          <w:p>
            <w:pPr>
              <w:snapToGrid w:val="0"/>
              <w:rPr>
                <w:rFonts w:asciiTheme="majorEastAsia" w:hAnsiTheme="majorEastAsia" w:eastAsiaTheme="majorEastAsia"/>
                <w:sz w:val="24"/>
              </w:rPr>
            </w:pPr>
          </w:p>
          <w:p>
            <w:pPr>
              <w:snapToGrid w:val="0"/>
              <w:rPr>
                <w:rFonts w:asciiTheme="majorEastAsia" w:hAnsiTheme="majorEastAsia" w:eastAsiaTheme="majorEastAsia"/>
                <w:sz w:val="24"/>
              </w:rPr>
            </w:pPr>
          </w:p>
          <w:p>
            <w:pPr>
              <w:snapToGrid w:val="0"/>
              <w:rPr>
                <w:rFonts w:asciiTheme="majorEastAsia" w:hAnsiTheme="majorEastAsia" w:eastAsiaTheme="majorEastAsia"/>
                <w:sz w:val="24"/>
              </w:rPr>
            </w:pPr>
          </w:p>
          <w:p>
            <w:pPr>
              <w:snapToGrid w:val="0"/>
              <w:rPr>
                <w:rFonts w:asciiTheme="majorEastAsia" w:hAnsiTheme="majorEastAsia" w:eastAsiaTheme="majorEastAsia"/>
                <w:sz w:val="24"/>
              </w:rPr>
            </w:pPr>
          </w:p>
          <w:p>
            <w:pPr>
              <w:snapToGrid w:val="0"/>
              <w:rPr>
                <w:rFonts w:asciiTheme="majorEastAsia" w:hAnsiTheme="majorEastAsia" w:eastAsiaTheme="majorEastAsia"/>
                <w:sz w:val="24"/>
              </w:rPr>
            </w:pPr>
            <w:r>
              <w:rPr>
                <w:rFonts w:hint="eastAsia" w:asciiTheme="majorEastAsia" w:hAnsiTheme="majorEastAsia" w:eastAsiaTheme="majorEastAsia"/>
                <w:sz w:val="24"/>
              </w:rPr>
              <w:t>购置年份</w:t>
            </w:r>
          </w:p>
          <w:p>
            <w:pPr>
              <w:rPr>
                <w:rFonts w:asciiTheme="majorEastAsia" w:hAnsiTheme="majorEastAsia" w:eastAsiaTheme="majorEastAsia"/>
                <w:sz w:val="24"/>
              </w:rPr>
            </w:pPr>
            <w:r>
              <w:rPr>
                <w:rFonts w:hint="eastAsia" w:asciiTheme="majorEastAsia" w:hAnsiTheme="majorEastAsia" w:eastAsiaTheme="majorEastAsia"/>
                <w:sz w:val="24"/>
              </w:rPr>
              <w:t xml:space="preserve">设备名称及       数量 </w:t>
            </w:r>
          </w:p>
        </w:tc>
        <w:tc>
          <w:tcPr>
            <w:tcW w:w="3015" w:type="dxa"/>
            <w:gridSpan w:val="2"/>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计算机</w:t>
            </w:r>
          </w:p>
        </w:tc>
        <w:tc>
          <w:tcPr>
            <w:tcW w:w="3960" w:type="dxa"/>
            <w:gridSpan w:val="4"/>
            <w:vAlign w:val="center"/>
          </w:tcPr>
          <w:p>
            <w:pPr>
              <w:ind w:firstLine="480" w:firstLineChars="200"/>
              <w:jc w:val="center"/>
              <w:rPr>
                <w:rFonts w:asciiTheme="majorEastAsia" w:hAnsiTheme="majorEastAsia" w:eastAsiaTheme="majorEastAsia"/>
                <w:sz w:val="24"/>
              </w:rPr>
            </w:pPr>
            <w:r>
              <w:rPr>
                <w:rFonts w:hint="eastAsia" w:asciiTheme="majorEastAsia" w:hAnsiTheme="majorEastAsia" w:eastAsiaTheme="majorEastAsia"/>
                <w:sz w:val="24"/>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Merge w:val="continue"/>
          </w:tcPr>
          <w:p>
            <w:pPr>
              <w:ind w:firstLine="480" w:firstLineChars="200"/>
              <w:rPr>
                <w:rFonts w:asciiTheme="majorEastAsia" w:hAnsiTheme="majorEastAsia" w:eastAsiaTheme="majorEastAsia"/>
                <w:sz w:val="24"/>
              </w:rPr>
            </w:pPr>
          </w:p>
        </w:tc>
        <w:tc>
          <w:tcPr>
            <w:tcW w:w="1515"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台式计算机</w:t>
            </w:r>
          </w:p>
        </w:tc>
        <w:tc>
          <w:tcPr>
            <w:tcW w:w="1500" w:type="dxa"/>
          </w:tcPr>
          <w:p>
            <w:pPr>
              <w:rPr>
                <w:rFonts w:asciiTheme="majorEastAsia" w:hAnsiTheme="majorEastAsia" w:eastAsiaTheme="majorEastAsia"/>
                <w:sz w:val="24"/>
              </w:rPr>
            </w:pPr>
            <w:r>
              <w:rPr>
                <w:rFonts w:hint="eastAsia" w:asciiTheme="majorEastAsia" w:hAnsiTheme="majorEastAsia" w:eastAsiaTheme="majorEastAsia"/>
                <w:sz w:val="24"/>
              </w:rPr>
              <w:t>笔记本电脑/平板电脑</w:t>
            </w:r>
          </w:p>
        </w:tc>
        <w:tc>
          <w:tcPr>
            <w:tcW w:w="960"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打印机</w:t>
            </w:r>
          </w:p>
        </w:tc>
        <w:tc>
          <w:tcPr>
            <w:tcW w:w="945"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一体机</w:t>
            </w:r>
          </w:p>
        </w:tc>
        <w:tc>
          <w:tcPr>
            <w:tcW w:w="960"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复印机</w:t>
            </w:r>
          </w:p>
        </w:tc>
        <w:tc>
          <w:tcPr>
            <w:tcW w:w="1095"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配页机/速印机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2020</w:t>
            </w:r>
          </w:p>
        </w:tc>
        <w:tc>
          <w:tcPr>
            <w:tcW w:w="1515" w:type="dxa"/>
            <w:vAlign w:val="center"/>
          </w:tcPr>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37</w:t>
            </w:r>
          </w:p>
        </w:tc>
        <w:tc>
          <w:tcPr>
            <w:tcW w:w="1500" w:type="dxa"/>
            <w:vAlign w:val="center"/>
          </w:tcPr>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24</w:t>
            </w:r>
          </w:p>
        </w:tc>
        <w:tc>
          <w:tcPr>
            <w:tcW w:w="960"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14</w:t>
            </w:r>
          </w:p>
        </w:tc>
        <w:tc>
          <w:tcPr>
            <w:tcW w:w="945"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9</w:t>
            </w:r>
          </w:p>
        </w:tc>
        <w:tc>
          <w:tcPr>
            <w:tcW w:w="960"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1</w:t>
            </w:r>
          </w:p>
        </w:tc>
        <w:tc>
          <w:tcPr>
            <w:tcW w:w="1095"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2019</w:t>
            </w:r>
          </w:p>
        </w:tc>
        <w:tc>
          <w:tcPr>
            <w:tcW w:w="1515" w:type="dxa"/>
            <w:vAlign w:val="center"/>
          </w:tcPr>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31</w:t>
            </w:r>
          </w:p>
        </w:tc>
        <w:tc>
          <w:tcPr>
            <w:tcW w:w="1500" w:type="dxa"/>
            <w:vAlign w:val="center"/>
          </w:tcPr>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12</w:t>
            </w:r>
          </w:p>
        </w:tc>
        <w:tc>
          <w:tcPr>
            <w:tcW w:w="960"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6</w:t>
            </w:r>
          </w:p>
        </w:tc>
        <w:tc>
          <w:tcPr>
            <w:tcW w:w="945"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5</w:t>
            </w:r>
          </w:p>
        </w:tc>
        <w:tc>
          <w:tcPr>
            <w:tcW w:w="960"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1</w:t>
            </w:r>
          </w:p>
        </w:tc>
        <w:tc>
          <w:tcPr>
            <w:tcW w:w="1095"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2018</w:t>
            </w:r>
          </w:p>
        </w:tc>
        <w:tc>
          <w:tcPr>
            <w:tcW w:w="1515" w:type="dxa"/>
            <w:vAlign w:val="center"/>
          </w:tcPr>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105</w:t>
            </w:r>
          </w:p>
        </w:tc>
        <w:tc>
          <w:tcPr>
            <w:tcW w:w="1500" w:type="dxa"/>
            <w:vAlign w:val="center"/>
          </w:tcPr>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14</w:t>
            </w:r>
          </w:p>
        </w:tc>
        <w:tc>
          <w:tcPr>
            <w:tcW w:w="960"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42</w:t>
            </w:r>
          </w:p>
        </w:tc>
        <w:tc>
          <w:tcPr>
            <w:tcW w:w="945"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7</w:t>
            </w:r>
          </w:p>
        </w:tc>
        <w:tc>
          <w:tcPr>
            <w:tcW w:w="960"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0</w:t>
            </w:r>
          </w:p>
        </w:tc>
        <w:tc>
          <w:tcPr>
            <w:tcW w:w="1095" w:type="dxa"/>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2017</w:t>
            </w:r>
          </w:p>
        </w:tc>
        <w:tc>
          <w:tcPr>
            <w:tcW w:w="1515"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74</w:t>
            </w:r>
          </w:p>
        </w:tc>
        <w:tc>
          <w:tcPr>
            <w:tcW w:w="150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7</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27</w:t>
            </w:r>
          </w:p>
        </w:tc>
        <w:tc>
          <w:tcPr>
            <w:tcW w:w="94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4</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w:t>
            </w:r>
          </w:p>
        </w:tc>
        <w:tc>
          <w:tcPr>
            <w:tcW w:w="109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2016</w:t>
            </w:r>
          </w:p>
        </w:tc>
        <w:tc>
          <w:tcPr>
            <w:tcW w:w="1515"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458</w:t>
            </w:r>
          </w:p>
        </w:tc>
        <w:tc>
          <w:tcPr>
            <w:tcW w:w="150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23</w:t>
            </w:r>
          </w:p>
        </w:tc>
        <w:tc>
          <w:tcPr>
            <w:tcW w:w="94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4</w:t>
            </w:r>
          </w:p>
        </w:tc>
        <w:tc>
          <w:tcPr>
            <w:tcW w:w="109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2015</w:t>
            </w:r>
          </w:p>
        </w:tc>
        <w:tc>
          <w:tcPr>
            <w:tcW w:w="1515"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156</w:t>
            </w:r>
          </w:p>
        </w:tc>
        <w:tc>
          <w:tcPr>
            <w:tcW w:w="150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5</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14</w:t>
            </w:r>
          </w:p>
        </w:tc>
        <w:tc>
          <w:tcPr>
            <w:tcW w:w="94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w:t>
            </w:r>
          </w:p>
        </w:tc>
        <w:tc>
          <w:tcPr>
            <w:tcW w:w="109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2014</w:t>
            </w:r>
          </w:p>
        </w:tc>
        <w:tc>
          <w:tcPr>
            <w:tcW w:w="1515"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40</w:t>
            </w:r>
          </w:p>
        </w:tc>
        <w:tc>
          <w:tcPr>
            <w:tcW w:w="150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w:t>
            </w:r>
          </w:p>
        </w:tc>
        <w:tc>
          <w:tcPr>
            <w:tcW w:w="94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109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2013</w:t>
            </w:r>
          </w:p>
        </w:tc>
        <w:tc>
          <w:tcPr>
            <w:tcW w:w="1515"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44</w:t>
            </w:r>
          </w:p>
        </w:tc>
        <w:tc>
          <w:tcPr>
            <w:tcW w:w="150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7</w:t>
            </w:r>
          </w:p>
        </w:tc>
        <w:tc>
          <w:tcPr>
            <w:tcW w:w="94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109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2012</w:t>
            </w:r>
          </w:p>
        </w:tc>
        <w:tc>
          <w:tcPr>
            <w:tcW w:w="1515"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5</w:t>
            </w:r>
          </w:p>
        </w:tc>
        <w:tc>
          <w:tcPr>
            <w:tcW w:w="150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w:t>
            </w:r>
          </w:p>
        </w:tc>
        <w:tc>
          <w:tcPr>
            <w:tcW w:w="94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109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2011</w:t>
            </w:r>
          </w:p>
        </w:tc>
        <w:tc>
          <w:tcPr>
            <w:tcW w:w="1515"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313</w:t>
            </w:r>
          </w:p>
        </w:tc>
        <w:tc>
          <w:tcPr>
            <w:tcW w:w="150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w:t>
            </w:r>
          </w:p>
        </w:tc>
        <w:tc>
          <w:tcPr>
            <w:tcW w:w="94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109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2010</w:t>
            </w:r>
          </w:p>
        </w:tc>
        <w:tc>
          <w:tcPr>
            <w:tcW w:w="1515"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140</w:t>
            </w:r>
          </w:p>
        </w:tc>
        <w:tc>
          <w:tcPr>
            <w:tcW w:w="150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12</w:t>
            </w:r>
          </w:p>
        </w:tc>
        <w:tc>
          <w:tcPr>
            <w:tcW w:w="94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109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2009</w:t>
            </w:r>
          </w:p>
        </w:tc>
        <w:tc>
          <w:tcPr>
            <w:tcW w:w="1515"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297</w:t>
            </w:r>
          </w:p>
        </w:tc>
        <w:tc>
          <w:tcPr>
            <w:tcW w:w="150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94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109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2008</w:t>
            </w:r>
          </w:p>
        </w:tc>
        <w:tc>
          <w:tcPr>
            <w:tcW w:w="1515"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150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94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109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2007</w:t>
            </w:r>
          </w:p>
        </w:tc>
        <w:tc>
          <w:tcPr>
            <w:tcW w:w="1515"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150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94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c>
          <w:tcPr>
            <w:tcW w:w="109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小计</w:t>
            </w:r>
          </w:p>
        </w:tc>
        <w:tc>
          <w:tcPr>
            <w:tcW w:w="1515"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1700</w:t>
            </w:r>
          </w:p>
        </w:tc>
        <w:tc>
          <w:tcPr>
            <w:tcW w:w="150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70</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150</w:t>
            </w:r>
          </w:p>
        </w:tc>
        <w:tc>
          <w:tcPr>
            <w:tcW w:w="94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30</w:t>
            </w:r>
          </w:p>
        </w:tc>
        <w:tc>
          <w:tcPr>
            <w:tcW w:w="960"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9</w:t>
            </w:r>
          </w:p>
        </w:tc>
        <w:tc>
          <w:tcPr>
            <w:tcW w:w="1095" w:type="dxa"/>
            <w:vAlign w:val="center"/>
          </w:tcPr>
          <w:p>
            <w:pPr>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jc w:val="lef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合计</w:t>
            </w:r>
          </w:p>
        </w:tc>
        <w:tc>
          <w:tcPr>
            <w:tcW w:w="6975" w:type="dxa"/>
            <w:gridSpan w:val="6"/>
            <w:vAlign w:val="center"/>
          </w:tcPr>
          <w:p>
            <w:pPr>
              <w:ind w:firstLine="480" w:firstLineChars="200"/>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1961</w:t>
            </w:r>
          </w:p>
        </w:tc>
      </w:tr>
    </w:tbl>
    <w:p>
      <w:pPr>
        <w:ind w:firstLine="480" w:firstLineChars="200"/>
        <w:rPr>
          <w:rFonts w:cs="宋体" w:asciiTheme="majorEastAsia" w:hAnsiTheme="majorEastAsia" w:eastAsiaTheme="majorEastAsia"/>
          <w:sz w:val="24"/>
        </w:rPr>
      </w:pPr>
    </w:p>
    <w:p>
      <w:pPr>
        <w:spacing w:line="360" w:lineRule="auto"/>
        <w:rPr>
          <w:rFonts w:cs="宋体" w:asciiTheme="majorEastAsia" w:hAnsiTheme="majorEastAsia" w:eastAsiaTheme="majorEastAsia"/>
          <w:b/>
          <w:bCs/>
          <w:color w:val="000000"/>
          <w:sz w:val="24"/>
        </w:rPr>
      </w:pPr>
      <w:r>
        <w:rPr>
          <w:rFonts w:asciiTheme="majorEastAsia" w:hAnsiTheme="majorEastAsia" w:eastAsiaTheme="majorEastAsia"/>
          <w:b/>
          <w:sz w:val="24"/>
        </w:rPr>
        <w:t>2.</w:t>
      </w:r>
      <w:r>
        <w:rPr>
          <w:rFonts w:hint="eastAsia" w:asciiTheme="majorEastAsia" w:hAnsiTheme="majorEastAsia" w:eastAsiaTheme="majorEastAsia"/>
          <w:b/>
          <w:sz w:val="24"/>
        </w:rPr>
        <w:t>3</w:t>
      </w:r>
      <w:r>
        <w:rPr>
          <w:rFonts w:hint="eastAsia" w:cs="宋体" w:asciiTheme="majorEastAsia" w:hAnsiTheme="majorEastAsia" w:eastAsiaTheme="majorEastAsia"/>
          <w:b/>
          <w:bCs/>
          <w:color w:val="000000"/>
          <w:sz w:val="24"/>
        </w:rPr>
        <w:t>技术要求</w:t>
      </w:r>
    </w:p>
    <w:p>
      <w:pPr>
        <w:spacing w:line="360" w:lineRule="auto"/>
        <w:ind w:firstLine="482" w:firstLineChars="200"/>
        <w:rPr>
          <w:rFonts w:asciiTheme="majorEastAsia" w:hAnsiTheme="majorEastAsia" w:eastAsiaTheme="majorEastAsia"/>
          <w:b/>
          <w:color w:val="000000"/>
          <w:sz w:val="24"/>
        </w:rPr>
      </w:pPr>
      <w:r>
        <w:rPr>
          <w:rFonts w:hint="eastAsia" w:asciiTheme="majorEastAsia" w:hAnsiTheme="majorEastAsia" w:eastAsiaTheme="majorEastAsia"/>
          <w:b/>
          <w:color w:val="000000"/>
          <w:sz w:val="24"/>
        </w:rPr>
        <w:t>1.服务时间要求</w:t>
      </w:r>
    </w:p>
    <w:tbl>
      <w:tblPr>
        <w:tblStyle w:val="4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18"/>
        <w:gridCol w:w="1660"/>
        <w:gridCol w:w="2585"/>
        <w:gridCol w:w="19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6" w:hRule="atLeast"/>
          <w:jc w:val="center"/>
        </w:trPr>
        <w:tc>
          <w:tcPr>
            <w:tcW w:w="2618" w:type="dxa"/>
            <w:vAlign w:val="center"/>
          </w:tcPr>
          <w:p>
            <w:pPr>
              <w:spacing w:line="420" w:lineRule="exact"/>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服务时间</w:t>
            </w:r>
          </w:p>
        </w:tc>
        <w:tc>
          <w:tcPr>
            <w:tcW w:w="1660" w:type="dxa"/>
            <w:vAlign w:val="center"/>
          </w:tcPr>
          <w:p>
            <w:pPr>
              <w:spacing w:line="420" w:lineRule="exact"/>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响应时间</w:t>
            </w:r>
          </w:p>
        </w:tc>
        <w:tc>
          <w:tcPr>
            <w:tcW w:w="2585" w:type="dxa"/>
            <w:vAlign w:val="center"/>
          </w:tcPr>
          <w:p>
            <w:pPr>
              <w:spacing w:line="420" w:lineRule="exact"/>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修复时间</w:t>
            </w:r>
          </w:p>
        </w:tc>
        <w:tc>
          <w:tcPr>
            <w:tcW w:w="1981" w:type="dxa"/>
            <w:vAlign w:val="center"/>
          </w:tcPr>
          <w:p>
            <w:pPr>
              <w:spacing w:line="420" w:lineRule="exact"/>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服务方式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0" w:hRule="atLeast"/>
          <w:jc w:val="center"/>
        </w:trPr>
        <w:tc>
          <w:tcPr>
            <w:tcW w:w="2618" w:type="dxa"/>
            <w:vAlign w:val="center"/>
          </w:tcPr>
          <w:p>
            <w:pPr>
              <w:spacing w:line="420" w:lineRule="exac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除国家法定假日外的其他时间（含周末及学校寒暑假），应相应安排人员对学校的故障设备进行检修。工作时间：</w:t>
            </w:r>
          </w:p>
          <w:p>
            <w:pPr>
              <w:spacing w:line="420" w:lineRule="exac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上午8：20-下午5：20</w:t>
            </w:r>
          </w:p>
        </w:tc>
        <w:tc>
          <w:tcPr>
            <w:tcW w:w="1660" w:type="dxa"/>
            <w:vAlign w:val="center"/>
          </w:tcPr>
          <w:p>
            <w:pPr>
              <w:spacing w:line="420" w:lineRule="exact"/>
              <w:jc w:val="center"/>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30分钟</w:t>
            </w:r>
          </w:p>
        </w:tc>
        <w:tc>
          <w:tcPr>
            <w:tcW w:w="2585" w:type="dxa"/>
            <w:vAlign w:val="center"/>
          </w:tcPr>
          <w:p>
            <w:pPr>
              <w:adjustRightInd w:val="0"/>
              <w:snapToGrid w:val="0"/>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简单维修在1时内完成；不能现场解决的复杂维修在3天内完成。若故障在检修3天内仍无法修复，服务商应免费提供备用设备，直至故障设备修复为止。</w:t>
            </w:r>
          </w:p>
        </w:tc>
        <w:tc>
          <w:tcPr>
            <w:tcW w:w="1981" w:type="dxa"/>
            <w:vAlign w:val="center"/>
          </w:tcPr>
          <w:p>
            <w:pPr>
              <w:spacing w:line="420" w:lineRule="exact"/>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工作时间至少1人驻点学校服务；非工作时间提供电话、远程服务，必要时现场服务。</w:t>
            </w:r>
          </w:p>
        </w:tc>
      </w:tr>
    </w:tbl>
    <w:p>
      <w:pPr>
        <w:rPr>
          <w:rFonts w:cs="宋体" w:asciiTheme="majorEastAsia" w:hAnsiTheme="majorEastAsia" w:eastAsiaTheme="majorEastAsia"/>
          <w:sz w:val="24"/>
        </w:rPr>
      </w:pPr>
    </w:p>
    <w:p>
      <w:pPr>
        <w:spacing w:line="360" w:lineRule="auto"/>
        <w:ind w:firstLine="482" w:firstLineChars="200"/>
        <w:rPr>
          <w:rFonts w:asciiTheme="majorEastAsia" w:hAnsiTheme="majorEastAsia" w:eastAsiaTheme="majorEastAsia"/>
          <w:b/>
          <w:color w:val="000000"/>
          <w:sz w:val="24"/>
        </w:rPr>
      </w:pPr>
      <w:r>
        <w:rPr>
          <w:rFonts w:hint="eastAsia" w:asciiTheme="majorEastAsia" w:hAnsiTheme="majorEastAsia" w:eastAsiaTheme="majorEastAsia"/>
          <w:b/>
          <w:color w:val="000000"/>
          <w:sz w:val="24"/>
        </w:rPr>
        <w:t>2.服务实施内容</w:t>
      </w:r>
    </w:p>
    <w:p>
      <w:pPr>
        <w:spacing w:line="360" w:lineRule="auto"/>
        <w:ind w:firstLine="480" w:firstLineChars="200"/>
        <w:rPr>
          <w:rFonts w:asciiTheme="majorEastAsia" w:hAnsiTheme="majorEastAsia" w:eastAsiaTheme="majorEastAsia"/>
          <w:sz w:val="24"/>
        </w:rPr>
      </w:pPr>
      <w:bookmarkStart w:id="17" w:name="_Toc171314429"/>
      <w:r>
        <w:rPr>
          <w:rFonts w:hint="eastAsia" w:asciiTheme="majorEastAsia" w:hAnsiTheme="majorEastAsia" w:eastAsiaTheme="majorEastAsia"/>
          <w:sz w:val="24"/>
        </w:rPr>
        <w:t>维修服务范围包括佛山校区计算机、笔记本计算机、打印机、复印机、打印复印及传真一体机等设备及配套外设，操作系统、常用软件的安装、调试、培训等服务。并协助采购人使用专业性办公软件的安装调试。</w:t>
      </w:r>
      <w:bookmarkEnd w:id="17"/>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服务商应有运维管理系统，并及时录入数据，以加强对维修保障的管理，提高运维保障效率；同时能在采购人需要维保数据时及时提供所需数据。</w:t>
      </w:r>
    </w:p>
    <w:p>
      <w:pPr>
        <w:spacing w:line="360" w:lineRule="auto"/>
        <w:ind w:firstLine="482" w:firstLineChars="200"/>
        <w:rPr>
          <w:rFonts w:asciiTheme="majorEastAsia" w:hAnsiTheme="majorEastAsia" w:eastAsiaTheme="majorEastAsia"/>
          <w:b/>
          <w:color w:val="000000"/>
          <w:sz w:val="24"/>
        </w:rPr>
      </w:pPr>
      <w:bookmarkStart w:id="18" w:name="_Toc17483"/>
      <w:bookmarkStart w:id="19" w:name="_Toc171314430"/>
      <w:bookmarkStart w:id="20" w:name="_Toc7407"/>
      <w:bookmarkStart w:id="21" w:name="_Toc462038319"/>
      <w:bookmarkStart w:id="22" w:name="_Toc189037798"/>
      <w:bookmarkStart w:id="23" w:name="_Toc311122999"/>
      <w:r>
        <w:rPr>
          <w:rFonts w:hint="eastAsia" w:asciiTheme="majorEastAsia" w:hAnsiTheme="majorEastAsia" w:eastAsiaTheme="majorEastAsia"/>
          <w:b/>
          <w:color w:val="000000"/>
          <w:sz w:val="24"/>
        </w:rPr>
        <w:t>2.1硬件服务</w:t>
      </w:r>
      <w:bookmarkEnd w:id="18"/>
      <w:bookmarkEnd w:id="19"/>
      <w:bookmarkEnd w:id="20"/>
      <w:bookmarkEnd w:id="21"/>
      <w:bookmarkEnd w:id="22"/>
      <w:bookmarkEnd w:id="23"/>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按照采购人实际维护、维修的需求，结合目前采购人在实际工作中硬件方面遇到的问题，中标人须有如下的硬件服务:</w:t>
      </w:r>
    </w:p>
    <w:p>
      <w:pPr>
        <w:spacing w:line="360" w:lineRule="auto"/>
        <w:ind w:firstLine="480" w:firstLineChars="200"/>
        <w:rPr>
          <w:rFonts w:asciiTheme="majorEastAsia" w:hAnsiTheme="majorEastAsia" w:eastAsiaTheme="majorEastAsia"/>
          <w:sz w:val="24"/>
        </w:rPr>
      </w:pPr>
      <w:bookmarkStart w:id="24" w:name="_Toc24050"/>
      <w:bookmarkStart w:id="25" w:name="_Toc171314432"/>
      <w:bookmarkStart w:id="26" w:name="_Toc311123000"/>
      <w:bookmarkStart w:id="27" w:name="_Toc188"/>
      <w:r>
        <w:rPr>
          <w:rFonts w:hint="eastAsia" w:asciiTheme="majorEastAsia" w:hAnsiTheme="majorEastAsia" w:eastAsiaTheme="majorEastAsia"/>
          <w:sz w:val="24"/>
        </w:rPr>
        <w:t>2.1.1硬件设备检查</w:t>
      </w:r>
      <w:bookmarkEnd w:id="24"/>
      <w:bookmarkEnd w:id="25"/>
      <w:bookmarkEnd w:id="26"/>
      <w:bookmarkEnd w:id="27"/>
    </w:p>
    <w:p>
      <w:pPr>
        <w:spacing w:line="360" w:lineRule="auto"/>
        <w:ind w:firstLine="480" w:firstLineChars="200"/>
        <w:rPr>
          <w:rFonts w:asciiTheme="majorEastAsia" w:hAnsiTheme="majorEastAsia" w:eastAsiaTheme="majorEastAsia"/>
          <w:sz w:val="24"/>
        </w:rPr>
      </w:pPr>
      <w:bookmarkStart w:id="28" w:name="_Toc171314433"/>
      <w:r>
        <w:rPr>
          <w:rFonts w:hint="eastAsia" w:asciiTheme="majorEastAsia" w:hAnsiTheme="majorEastAsia" w:eastAsiaTheme="majorEastAsia"/>
          <w:sz w:val="24"/>
        </w:rPr>
        <w:t>中标人应在合同签署后5个工作日内，提供一份详细的检查报告，包括设备明细清单、工作状况、工作环境和分布地点等，在之后的维修维护工作中记录和整理维保的各项资料，录入运维管理系统，以便于学校的科学管理。</w:t>
      </w:r>
      <w:bookmarkEnd w:id="28"/>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服务期内中标人每半年进行一次设备巡检，并输出巡检报告。</w:t>
      </w:r>
    </w:p>
    <w:p>
      <w:pPr>
        <w:spacing w:line="360" w:lineRule="auto"/>
        <w:ind w:firstLine="480" w:firstLineChars="200"/>
        <w:rPr>
          <w:rFonts w:asciiTheme="majorEastAsia" w:hAnsiTheme="majorEastAsia" w:eastAsiaTheme="majorEastAsia"/>
          <w:sz w:val="24"/>
        </w:rPr>
      </w:pPr>
      <w:bookmarkStart w:id="29" w:name="_Toc28638"/>
      <w:bookmarkStart w:id="30" w:name="_Toc171314447"/>
      <w:bookmarkStart w:id="31" w:name="_Toc311123003"/>
      <w:bookmarkStart w:id="32" w:name="_Toc2879"/>
      <w:r>
        <w:rPr>
          <w:rFonts w:hint="eastAsia" w:asciiTheme="majorEastAsia" w:hAnsiTheme="majorEastAsia" w:eastAsiaTheme="majorEastAsia"/>
          <w:sz w:val="24"/>
        </w:rPr>
        <w:t>2.1.2硬件维修、更换及取修</w:t>
      </w:r>
      <w:bookmarkEnd w:id="29"/>
      <w:bookmarkEnd w:id="30"/>
      <w:bookmarkEnd w:id="31"/>
      <w:bookmarkEnd w:id="32"/>
    </w:p>
    <w:p>
      <w:pPr>
        <w:spacing w:line="360" w:lineRule="auto"/>
        <w:ind w:firstLine="480" w:firstLineChars="200"/>
        <w:rPr>
          <w:rFonts w:asciiTheme="majorEastAsia" w:hAnsiTheme="majorEastAsia" w:eastAsiaTheme="majorEastAsia"/>
          <w:sz w:val="24"/>
        </w:rPr>
      </w:pPr>
      <w:bookmarkStart w:id="33" w:name="_Toc171314448"/>
      <w:bookmarkStart w:id="34" w:name="_Toc311123016"/>
      <w:bookmarkStart w:id="35" w:name="_Toc171314500"/>
      <w:bookmarkStart w:id="36" w:name="_Toc21551"/>
      <w:bookmarkStart w:id="37" w:name="_Toc189037801"/>
      <w:bookmarkStart w:id="38" w:name="_Toc7340"/>
      <w:bookmarkStart w:id="39" w:name="_Toc462038320"/>
      <w:r>
        <w:rPr>
          <w:rFonts w:hint="eastAsia" w:asciiTheme="majorEastAsia" w:hAnsiTheme="majorEastAsia" w:eastAsiaTheme="majorEastAsia"/>
          <w:sz w:val="24"/>
        </w:rPr>
        <w:t>中标人提供硬件维修服务，如硬件损坏无法维修则应予以更换新的配件，</w:t>
      </w:r>
      <w:bookmarkEnd w:id="33"/>
      <w:bookmarkStart w:id="40" w:name="_Toc171314449"/>
      <w:r>
        <w:rPr>
          <w:rFonts w:hint="eastAsia" w:asciiTheme="majorEastAsia" w:hAnsiTheme="majorEastAsia" w:eastAsiaTheme="majorEastAsia"/>
          <w:sz w:val="24"/>
        </w:rPr>
        <w:t>所更换的硬件应保证为全新的原型号规格的配件或性能优于原有配件的硬件，且费用应计入投标价格内，并保证同一故障维修更换后至少有三个月的保修期。</w:t>
      </w:r>
      <w:bookmarkEnd w:id="40"/>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列入维修目录的设备且仍在厂家免费保修期内的，中标人也须负责维修。（中标人可通过厂家保修方式处理故障，也可自行维修，但具体修复时间不应该超过本服务约定。）</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2.1.3 计算机深度清洗（除尘）</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每年对1700台台式计算机，进行深度清洗保养（除尘），清洁剂箱内部主板、内存、硬盘、插槽、CPU风扇、显卡等配件，以及键盘、显示器等外部配件。</w:t>
      </w:r>
    </w:p>
    <w:p>
      <w:pPr>
        <w:spacing w:line="360" w:lineRule="auto"/>
        <w:ind w:firstLine="480" w:firstLineChars="200"/>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2.2软件服务</w:t>
      </w:r>
      <w:bookmarkEnd w:id="34"/>
      <w:bookmarkEnd w:id="35"/>
      <w:bookmarkEnd w:id="36"/>
      <w:bookmarkEnd w:id="37"/>
      <w:bookmarkEnd w:id="38"/>
      <w:bookmarkEnd w:id="39"/>
    </w:p>
    <w:p>
      <w:pPr>
        <w:spacing w:line="360" w:lineRule="auto"/>
        <w:ind w:firstLine="480" w:firstLineChars="200"/>
        <w:rPr>
          <w:rFonts w:asciiTheme="majorEastAsia" w:hAnsiTheme="majorEastAsia" w:eastAsiaTheme="majorEastAsia"/>
          <w:sz w:val="24"/>
        </w:rPr>
      </w:pPr>
      <w:bookmarkStart w:id="41" w:name="_Toc171314502"/>
      <w:r>
        <w:rPr>
          <w:rFonts w:hint="eastAsia" w:asciiTheme="majorEastAsia" w:hAnsiTheme="majorEastAsia" w:eastAsiaTheme="majorEastAsia"/>
          <w:sz w:val="24"/>
        </w:rPr>
        <w:t>中标人负责安装维护</w:t>
      </w:r>
      <w:bookmarkStart w:id="42" w:name="_Toc171314416"/>
      <w:r>
        <w:rPr>
          <w:rFonts w:hint="eastAsia" w:asciiTheme="majorEastAsia" w:hAnsiTheme="majorEastAsia" w:eastAsiaTheme="majorEastAsia"/>
          <w:sz w:val="24"/>
        </w:rPr>
        <w:t>上述设备的各类操作系统、办公软件</w:t>
      </w:r>
      <w:bookmarkEnd w:id="42"/>
      <w:bookmarkStart w:id="43" w:name="_Toc171314417"/>
      <w:r>
        <w:rPr>
          <w:rFonts w:hint="eastAsia" w:asciiTheme="majorEastAsia" w:hAnsiTheme="majorEastAsia" w:eastAsiaTheme="majorEastAsia"/>
          <w:sz w:val="24"/>
        </w:rPr>
        <w:t>及防、杀毒软件</w:t>
      </w:r>
      <w:bookmarkEnd w:id="43"/>
      <w:r>
        <w:rPr>
          <w:rFonts w:hint="eastAsia" w:asciiTheme="majorEastAsia" w:hAnsiTheme="majorEastAsia" w:eastAsiaTheme="majorEastAsia"/>
          <w:sz w:val="24"/>
        </w:rPr>
        <w:t>，向用户提供查杀、清除各类电脑病毒，数据备份、恢复、操作系统安装和调试等服务。</w:t>
      </w:r>
      <w:bookmarkEnd w:id="41"/>
    </w:p>
    <w:p>
      <w:pPr>
        <w:spacing w:line="360" w:lineRule="auto"/>
        <w:ind w:firstLine="480" w:firstLineChars="200"/>
        <w:rPr>
          <w:rFonts w:asciiTheme="majorEastAsia" w:hAnsiTheme="majorEastAsia" w:eastAsiaTheme="majorEastAsia"/>
          <w:sz w:val="24"/>
        </w:rPr>
      </w:pPr>
      <w:bookmarkStart w:id="44" w:name="_Toc171314418"/>
      <w:r>
        <w:rPr>
          <w:rFonts w:hint="eastAsia" w:asciiTheme="majorEastAsia" w:hAnsiTheme="majorEastAsia" w:eastAsiaTheme="majorEastAsia"/>
          <w:sz w:val="24"/>
        </w:rPr>
        <w:t>对于用户使用的专业性较强的软件，中标人以协助的方式为用户提供技术服务。</w:t>
      </w:r>
      <w:bookmarkEnd w:id="44"/>
      <w:bookmarkStart w:id="45" w:name="_Toc171314419"/>
      <w:r>
        <w:rPr>
          <w:rFonts w:hint="eastAsia" w:asciiTheme="majorEastAsia" w:hAnsiTheme="majorEastAsia" w:eastAsiaTheme="majorEastAsia"/>
          <w:sz w:val="24"/>
        </w:rPr>
        <w:t>对于用户在自行使用过程中造成的任何形式的数据丢失，中标人同样以协助的方式对用户提供技术支持服务。</w:t>
      </w:r>
      <w:bookmarkEnd w:id="45"/>
    </w:p>
    <w:p>
      <w:pPr>
        <w:spacing w:line="360" w:lineRule="auto"/>
        <w:ind w:firstLine="480" w:firstLineChars="200"/>
        <w:rPr>
          <w:rFonts w:asciiTheme="majorEastAsia" w:hAnsiTheme="majorEastAsia" w:eastAsiaTheme="majorEastAsia"/>
          <w:sz w:val="24"/>
        </w:rPr>
      </w:pPr>
      <w:bookmarkStart w:id="46" w:name="_Toc22326"/>
      <w:bookmarkStart w:id="47" w:name="_Toc171314504"/>
      <w:bookmarkStart w:id="48" w:name="_Toc189037802"/>
      <w:bookmarkStart w:id="49" w:name="_Toc20578"/>
      <w:bookmarkStart w:id="50" w:name="_Toc311123017"/>
      <w:bookmarkStart w:id="51" w:name="_Toc462038321"/>
      <w:r>
        <w:rPr>
          <w:rFonts w:hint="eastAsia" w:asciiTheme="majorEastAsia" w:hAnsiTheme="majorEastAsia" w:eastAsiaTheme="majorEastAsia"/>
          <w:sz w:val="24"/>
        </w:rPr>
        <w:t>2.3培训服务</w:t>
      </w:r>
      <w:bookmarkEnd w:id="46"/>
      <w:bookmarkEnd w:id="47"/>
      <w:bookmarkEnd w:id="48"/>
      <w:bookmarkEnd w:id="49"/>
      <w:bookmarkEnd w:id="50"/>
      <w:bookmarkEnd w:id="51"/>
    </w:p>
    <w:p>
      <w:pPr>
        <w:spacing w:line="360" w:lineRule="auto"/>
        <w:ind w:firstLine="480" w:firstLineChars="200"/>
        <w:rPr>
          <w:rFonts w:asciiTheme="majorEastAsia" w:hAnsiTheme="majorEastAsia" w:eastAsiaTheme="majorEastAsia"/>
          <w:sz w:val="24"/>
        </w:rPr>
      </w:pPr>
      <w:bookmarkStart w:id="52" w:name="_Toc171314505"/>
      <w:r>
        <w:rPr>
          <w:rFonts w:hint="eastAsia" w:asciiTheme="majorEastAsia" w:hAnsiTheme="majorEastAsia" w:eastAsiaTheme="majorEastAsia"/>
          <w:sz w:val="24"/>
        </w:rPr>
        <w:t>中标人要向用户提供必要的硬件及软件的使用操作等培训，保证用户能够独立使用。</w:t>
      </w:r>
      <w:bookmarkEnd w:id="52"/>
      <w:bookmarkStart w:id="53" w:name="_Toc171314506"/>
      <w:r>
        <w:rPr>
          <w:rFonts w:hint="eastAsia" w:asciiTheme="majorEastAsia" w:hAnsiTheme="majorEastAsia" w:eastAsiaTheme="majorEastAsia"/>
          <w:sz w:val="24"/>
        </w:rPr>
        <w:t>在维修过程中能够针对用户普遍存在问题和需求，做出培训计划，并按用户要求执行。</w:t>
      </w:r>
      <w:bookmarkEnd w:id="53"/>
    </w:p>
    <w:p>
      <w:pPr>
        <w:spacing w:line="360" w:lineRule="auto"/>
        <w:ind w:firstLine="480" w:firstLineChars="200"/>
        <w:rPr>
          <w:rFonts w:asciiTheme="majorEastAsia" w:hAnsiTheme="majorEastAsia" w:eastAsiaTheme="majorEastAsia"/>
          <w:sz w:val="24"/>
        </w:rPr>
      </w:pPr>
      <w:bookmarkStart w:id="54" w:name="_Toc5604"/>
      <w:bookmarkStart w:id="55" w:name="_Toc189037803"/>
      <w:bookmarkStart w:id="56" w:name="_Toc29781"/>
      <w:bookmarkStart w:id="57" w:name="_Toc462038322"/>
      <w:bookmarkStart w:id="58" w:name="_Toc311123018"/>
      <w:bookmarkStart w:id="59" w:name="_Toc171314508"/>
      <w:r>
        <w:rPr>
          <w:rFonts w:hint="eastAsia" w:asciiTheme="majorEastAsia" w:hAnsiTheme="majorEastAsia" w:eastAsiaTheme="majorEastAsia"/>
          <w:sz w:val="24"/>
        </w:rPr>
        <w:t>2.4维修记录和分析服务</w:t>
      </w:r>
      <w:bookmarkEnd w:id="54"/>
      <w:bookmarkEnd w:id="55"/>
      <w:bookmarkEnd w:id="56"/>
      <w:bookmarkEnd w:id="57"/>
      <w:bookmarkEnd w:id="58"/>
      <w:bookmarkEnd w:id="59"/>
      <w:bookmarkStart w:id="60" w:name="_Toc171314510"/>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中标人应在运维管理系统中，建立一个专用的维修档案，用于记录每次服务的内容和所做的操作，每两周更新一次，实时跟踪查询，能随时按采购人要求提供相应报告。</w:t>
      </w:r>
      <w:bookmarkEnd w:id="60"/>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2.5 其他服务</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2.5.1中标人负责根据用户的电脑及相关设备实际使用情况提供最佳的软硬件升级方案，使性能达到最优状态。</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2.5.2中标人除正常工作时间在学校驻点外，寒暑假及其他学校的上班时间应能及时到学校进行维修工作。</w:t>
      </w:r>
    </w:p>
    <w:p>
      <w:pPr>
        <w:spacing w:line="360" w:lineRule="auto"/>
        <w:ind w:firstLine="482" w:firstLineChars="200"/>
        <w:rPr>
          <w:rFonts w:asciiTheme="majorEastAsia" w:hAnsiTheme="majorEastAsia" w:eastAsiaTheme="majorEastAsia"/>
          <w:b/>
          <w:color w:val="000000"/>
          <w:sz w:val="24"/>
        </w:rPr>
      </w:pPr>
      <w:bookmarkStart w:id="61" w:name="_Toc462038324"/>
      <w:r>
        <w:rPr>
          <w:rFonts w:hint="eastAsia" w:asciiTheme="majorEastAsia" w:hAnsiTheme="majorEastAsia" w:eastAsiaTheme="majorEastAsia"/>
          <w:b/>
          <w:color w:val="000000"/>
          <w:sz w:val="24"/>
        </w:rPr>
        <w:t>3.服务形式</w:t>
      </w:r>
      <w:bookmarkEnd w:id="61"/>
    </w:p>
    <w:p>
      <w:pPr>
        <w:spacing w:line="360" w:lineRule="auto"/>
        <w:ind w:firstLine="480" w:firstLineChars="200"/>
        <w:rPr>
          <w:rFonts w:asciiTheme="majorEastAsia" w:hAnsiTheme="majorEastAsia" w:eastAsiaTheme="majorEastAsia"/>
          <w:sz w:val="24"/>
        </w:rPr>
      </w:pPr>
      <w:bookmarkStart w:id="62" w:name="_Toc171314524"/>
      <w:bookmarkStart w:id="63" w:name="_Toc31747"/>
      <w:bookmarkStart w:id="64" w:name="_Toc311123021"/>
      <w:bookmarkStart w:id="65" w:name="_Toc462038325"/>
      <w:bookmarkStart w:id="66" w:name="_Toc27353"/>
      <w:bookmarkStart w:id="67" w:name="_Toc189037806"/>
      <w:bookmarkStart w:id="68" w:name="_Toc189037810"/>
      <w:bookmarkStart w:id="69" w:name="_Toc171314534"/>
      <w:bookmarkStart w:id="70" w:name="_Toc311123025"/>
      <w:bookmarkStart w:id="71" w:name="_Toc392684967"/>
      <w:bookmarkStart w:id="72" w:name="_Toc23991"/>
      <w:bookmarkStart w:id="73" w:name="_Toc12311"/>
      <w:r>
        <w:rPr>
          <w:rFonts w:hint="eastAsia" w:asciiTheme="majorEastAsia" w:hAnsiTheme="majorEastAsia" w:eastAsiaTheme="majorEastAsia"/>
          <w:sz w:val="24"/>
        </w:rPr>
        <w:t>3.1现场服务</w:t>
      </w:r>
      <w:bookmarkEnd w:id="62"/>
      <w:bookmarkEnd w:id="63"/>
      <w:bookmarkEnd w:id="64"/>
      <w:bookmarkEnd w:id="65"/>
      <w:bookmarkEnd w:id="66"/>
      <w:bookmarkEnd w:id="67"/>
    </w:p>
    <w:p>
      <w:pPr>
        <w:spacing w:line="360" w:lineRule="auto"/>
        <w:ind w:firstLine="480" w:firstLineChars="200"/>
        <w:rPr>
          <w:rFonts w:asciiTheme="majorEastAsia" w:hAnsiTheme="majorEastAsia" w:eastAsiaTheme="majorEastAsia"/>
          <w:sz w:val="24"/>
        </w:rPr>
      </w:pPr>
      <w:bookmarkStart w:id="74" w:name="_Toc171314525"/>
      <w:r>
        <w:rPr>
          <w:rFonts w:hint="eastAsia" w:asciiTheme="majorEastAsia" w:hAnsiTheme="majorEastAsia" w:eastAsiaTheme="majorEastAsia"/>
          <w:sz w:val="24"/>
        </w:rPr>
        <w:t>3.1.1★中标人指派专业且有从事过类似工作的技术人员1名以上（含1名）在学校驻点，学校免费提供办公地点(不能用于住宿)，在国家法定工作日（含学校寒暑假）驻点学校，随时对学校的故障设备进行检修，以保证学校的办公需求。</w:t>
      </w:r>
      <w:bookmarkEnd w:id="74"/>
    </w:p>
    <w:p>
      <w:pPr>
        <w:spacing w:line="360"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3.1.2 工程师均需具备三年或以上同类办公设备维修工作经验。</w:t>
      </w:r>
    </w:p>
    <w:p>
      <w:pPr>
        <w:spacing w:line="360" w:lineRule="auto"/>
        <w:ind w:firstLine="480" w:firstLineChars="200"/>
        <w:rPr>
          <w:rFonts w:hint="eastAsia" w:cs="Times New Roman" w:asciiTheme="majorEastAsia" w:hAnsiTheme="majorEastAsia" w:eastAsiaTheme="majorEastAsia"/>
          <w:sz w:val="24"/>
          <w:lang w:val="en-US" w:eastAsia="zh-CN"/>
        </w:rPr>
      </w:pPr>
      <w:r>
        <w:rPr>
          <w:rFonts w:hint="eastAsia" w:cs="Times New Roman" w:asciiTheme="majorEastAsia" w:hAnsiTheme="majorEastAsia" w:eastAsiaTheme="majorEastAsia"/>
          <w:sz w:val="24"/>
          <w:lang w:val="en-US" w:eastAsia="zh-CN"/>
        </w:rPr>
        <w:t>3.1.3 ★只有涉及到硬件升级或者其他超出不合理的部分，则需单独付费外，其他均要求是保障设备正常运转的维修及更换硬件等服务项目已包含在本次总预算中，不单独付费。（举例：如128G的硬盘坏了，使用人提出要换成256G的硬盘，这属于硬件升级，则需要补差价付费；如果继续换成128G的硬盘，则无需单独付费）</w:t>
      </w:r>
    </w:p>
    <w:p>
      <w:pPr>
        <w:spacing w:line="360" w:lineRule="auto"/>
        <w:ind w:firstLine="480" w:firstLineChars="200"/>
        <w:rPr>
          <w:rFonts w:asciiTheme="majorEastAsia" w:hAnsiTheme="majorEastAsia" w:eastAsiaTheme="majorEastAsia"/>
          <w:sz w:val="24"/>
        </w:rPr>
      </w:pPr>
      <w:bookmarkStart w:id="75" w:name="_Toc189037807"/>
      <w:bookmarkStart w:id="76" w:name="_Toc311123022"/>
      <w:bookmarkStart w:id="77" w:name="_Toc21510"/>
      <w:bookmarkStart w:id="78" w:name="_Toc462038326"/>
      <w:bookmarkStart w:id="79" w:name="_Toc18362"/>
      <w:bookmarkStart w:id="80" w:name="_Toc171314526"/>
      <w:r>
        <w:rPr>
          <w:rFonts w:hint="eastAsia" w:asciiTheme="majorEastAsia" w:hAnsiTheme="majorEastAsia" w:eastAsiaTheme="majorEastAsia"/>
          <w:sz w:val="24"/>
        </w:rPr>
        <w:t>3.2电话服务与技术支持</w:t>
      </w:r>
      <w:bookmarkEnd w:id="75"/>
      <w:bookmarkEnd w:id="76"/>
      <w:bookmarkEnd w:id="77"/>
      <w:bookmarkEnd w:id="78"/>
      <w:bookmarkEnd w:id="79"/>
      <w:bookmarkEnd w:id="80"/>
    </w:p>
    <w:p>
      <w:pPr>
        <w:spacing w:line="360" w:lineRule="auto"/>
        <w:ind w:firstLine="480" w:firstLineChars="200"/>
        <w:rPr>
          <w:rFonts w:asciiTheme="majorEastAsia" w:hAnsiTheme="majorEastAsia" w:eastAsiaTheme="majorEastAsia"/>
          <w:sz w:val="24"/>
        </w:rPr>
      </w:pPr>
      <w:bookmarkStart w:id="81" w:name="_Toc29447"/>
      <w:bookmarkStart w:id="82" w:name="_Toc9337"/>
      <w:bookmarkStart w:id="83" w:name="_Toc171314527"/>
      <w:r>
        <w:rPr>
          <w:rFonts w:hint="eastAsia" w:asciiTheme="majorEastAsia" w:hAnsiTheme="majorEastAsia" w:eastAsiaTheme="majorEastAsia"/>
          <w:sz w:val="24"/>
        </w:rPr>
        <w:t>中标人应设立专线服务电话，提供服务时间内（上午8：20—下午5：20）的电话受理服务，提供保障和技术支持。</w:t>
      </w:r>
      <w:bookmarkEnd w:id="81"/>
      <w:bookmarkEnd w:id="82"/>
      <w:bookmarkEnd w:id="83"/>
    </w:p>
    <w:p>
      <w:pPr>
        <w:spacing w:line="360" w:lineRule="auto"/>
        <w:ind w:firstLine="480" w:firstLineChars="200"/>
        <w:rPr>
          <w:rFonts w:asciiTheme="majorEastAsia" w:hAnsiTheme="majorEastAsia" w:eastAsiaTheme="majorEastAsia"/>
          <w:sz w:val="24"/>
        </w:rPr>
      </w:pPr>
      <w:bookmarkStart w:id="84" w:name="_Toc23108"/>
      <w:bookmarkStart w:id="85" w:name="_Toc171314530"/>
      <w:bookmarkStart w:id="86" w:name="_Toc6567"/>
      <w:bookmarkStart w:id="87" w:name="_Toc311123023"/>
      <w:bookmarkStart w:id="88" w:name="_Toc462038327"/>
      <w:bookmarkStart w:id="89" w:name="_Toc189037808"/>
      <w:r>
        <w:rPr>
          <w:rFonts w:hint="eastAsia" w:asciiTheme="majorEastAsia" w:hAnsiTheme="majorEastAsia" w:eastAsiaTheme="majorEastAsia"/>
          <w:sz w:val="24"/>
        </w:rPr>
        <w:t>3.3备品备件</w:t>
      </w:r>
      <w:bookmarkEnd w:id="84"/>
      <w:bookmarkEnd w:id="85"/>
      <w:bookmarkEnd w:id="86"/>
      <w:bookmarkEnd w:id="87"/>
      <w:bookmarkEnd w:id="88"/>
      <w:bookmarkEnd w:id="89"/>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中标人应在学校建立常用设备备件库，向用户提供常用IT设备(包括电脑、打印机等)的备品备件，保证出现硬件故障时能及时恢复设备的正常使用。</w:t>
      </w:r>
    </w:p>
    <w:p>
      <w:pPr>
        <w:spacing w:line="360" w:lineRule="auto"/>
        <w:ind w:firstLine="482" w:firstLineChars="200"/>
        <w:rPr>
          <w:rFonts w:asciiTheme="majorEastAsia" w:hAnsiTheme="majorEastAsia" w:eastAsiaTheme="majorEastAsia"/>
          <w:b/>
          <w:color w:val="000000"/>
          <w:sz w:val="24"/>
        </w:rPr>
      </w:pPr>
      <w:bookmarkStart w:id="90" w:name="_Toc462038328"/>
      <w:r>
        <w:rPr>
          <w:rFonts w:hint="eastAsia" w:asciiTheme="majorEastAsia" w:hAnsiTheme="majorEastAsia" w:eastAsiaTheme="majorEastAsia"/>
          <w:b/>
          <w:color w:val="000000"/>
          <w:sz w:val="24"/>
        </w:rPr>
        <w:t>4.服务质量</w:t>
      </w:r>
      <w:bookmarkEnd w:id="68"/>
      <w:bookmarkEnd w:id="69"/>
      <w:bookmarkEnd w:id="70"/>
      <w:bookmarkEnd w:id="71"/>
      <w:bookmarkEnd w:id="72"/>
      <w:bookmarkEnd w:id="73"/>
      <w:bookmarkEnd w:id="90"/>
    </w:p>
    <w:p>
      <w:pPr>
        <w:spacing w:line="360" w:lineRule="auto"/>
        <w:ind w:firstLine="480" w:firstLineChars="200"/>
        <w:rPr>
          <w:rFonts w:asciiTheme="majorEastAsia" w:hAnsiTheme="majorEastAsia" w:eastAsiaTheme="majorEastAsia"/>
          <w:sz w:val="24"/>
        </w:rPr>
      </w:pPr>
      <w:bookmarkStart w:id="91" w:name="_Toc171314535"/>
      <w:bookmarkStart w:id="92" w:name="_Toc31076"/>
      <w:bookmarkStart w:id="93" w:name="_Toc20758"/>
      <w:bookmarkStart w:id="94" w:name="_Toc311123026"/>
      <w:bookmarkStart w:id="95" w:name="_Toc189037811"/>
      <w:bookmarkStart w:id="96" w:name="_Toc462038329"/>
      <w:r>
        <w:rPr>
          <w:rFonts w:hint="eastAsia" w:asciiTheme="majorEastAsia" w:hAnsiTheme="majorEastAsia" w:eastAsiaTheme="majorEastAsia"/>
          <w:sz w:val="24"/>
        </w:rPr>
        <w:t>4.1服务响应时间</w:t>
      </w:r>
      <w:bookmarkEnd w:id="91"/>
      <w:bookmarkEnd w:id="92"/>
      <w:bookmarkEnd w:id="93"/>
      <w:bookmarkEnd w:id="94"/>
      <w:bookmarkEnd w:id="95"/>
      <w:bookmarkEnd w:id="96"/>
    </w:p>
    <w:p>
      <w:pPr>
        <w:spacing w:line="360" w:lineRule="auto"/>
        <w:ind w:firstLine="480" w:firstLineChars="200"/>
        <w:rPr>
          <w:rFonts w:asciiTheme="majorEastAsia" w:hAnsiTheme="majorEastAsia" w:eastAsiaTheme="majorEastAsia"/>
          <w:sz w:val="24"/>
        </w:rPr>
      </w:pPr>
      <w:bookmarkStart w:id="97" w:name="_Toc171314538"/>
      <w:r>
        <w:rPr>
          <w:rFonts w:hint="eastAsia" w:asciiTheme="majorEastAsia" w:hAnsiTheme="majorEastAsia" w:eastAsiaTheme="majorEastAsia"/>
          <w:sz w:val="24"/>
        </w:rPr>
        <w:t>即时电话响应，30分钟内到达现场。普通故障维修应在1小时内解决。</w:t>
      </w:r>
      <w:bookmarkEnd w:id="97"/>
      <w:bookmarkStart w:id="98" w:name="_Toc171314450"/>
      <w:bookmarkStart w:id="99" w:name="_Toc171314539"/>
      <w:r>
        <w:rPr>
          <w:rFonts w:hint="eastAsia" w:asciiTheme="majorEastAsia" w:hAnsiTheme="majorEastAsia" w:eastAsiaTheme="majorEastAsia"/>
          <w:sz w:val="24"/>
        </w:rPr>
        <w:t>不能现场解决的故障，需于当日把故障设备取回公司进行修理，在该产品修理妥当后，送回用户。中标人需尽力缩短整个送修过程的时间，每次取修不得超过3天。</w:t>
      </w:r>
      <w:bookmarkEnd w:id="98"/>
      <w:r>
        <w:rPr>
          <w:rFonts w:hint="eastAsia" w:asciiTheme="majorEastAsia" w:hAnsiTheme="majorEastAsia" w:eastAsiaTheme="majorEastAsia"/>
          <w:sz w:val="24"/>
        </w:rPr>
        <w:t>如果设备故障在3天内仍无法解决，中标人应免费提供备用设备供用户使用，直至故障设备修复为止。</w:t>
      </w:r>
      <w:bookmarkEnd w:id="99"/>
    </w:p>
    <w:p>
      <w:pPr>
        <w:spacing w:line="360" w:lineRule="auto"/>
        <w:ind w:firstLine="480" w:firstLineChars="200"/>
        <w:rPr>
          <w:rFonts w:asciiTheme="majorEastAsia" w:hAnsiTheme="majorEastAsia" w:eastAsiaTheme="majorEastAsia"/>
          <w:sz w:val="24"/>
        </w:rPr>
      </w:pPr>
      <w:bookmarkStart w:id="100" w:name="_Toc462038332"/>
      <w:bookmarkStart w:id="101" w:name="_Toc140569191"/>
      <w:bookmarkStart w:id="102" w:name="_Toc145500734"/>
      <w:r>
        <w:rPr>
          <w:rFonts w:hint="eastAsia" w:asciiTheme="majorEastAsia" w:hAnsiTheme="majorEastAsia" w:eastAsiaTheme="majorEastAsia"/>
          <w:sz w:val="24"/>
        </w:rPr>
        <w:t>4.2用户投诉处理</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用户的每次有效投诉直接与履约保证金挂钩。</w:t>
      </w:r>
      <w:bookmarkStart w:id="103" w:name="_Toc15009"/>
      <w:bookmarkStart w:id="104" w:name="_Toc21741"/>
      <w:bookmarkStart w:id="105" w:name="_Toc171314544"/>
      <w:r>
        <w:rPr>
          <w:rFonts w:hint="eastAsia" w:asciiTheme="majorEastAsia" w:hAnsiTheme="majorEastAsia" w:eastAsiaTheme="majorEastAsia"/>
          <w:sz w:val="24"/>
        </w:rPr>
        <w:t>服务商的工程师每月接到有效投诉达三次以上，则取消该工程师服务资格，服务商必须无条件改派其他工程师。</w:t>
      </w:r>
      <w:bookmarkEnd w:id="103"/>
      <w:bookmarkEnd w:id="104"/>
      <w:bookmarkEnd w:id="105"/>
      <w:bookmarkStart w:id="106" w:name="_Toc23937"/>
      <w:bookmarkStart w:id="107" w:name="_Toc171314545"/>
      <w:bookmarkStart w:id="108" w:name="_Toc20825"/>
      <w:r>
        <w:rPr>
          <w:rFonts w:hint="eastAsia" w:asciiTheme="majorEastAsia" w:hAnsiTheme="majorEastAsia" w:eastAsiaTheme="majorEastAsia"/>
          <w:sz w:val="24"/>
        </w:rPr>
        <w:t>服务商设有专职的项目经理负责响应用户服务需求，项目经理对用户的投诉应在一个工作日内做出有效回复。</w:t>
      </w:r>
      <w:bookmarkEnd w:id="106"/>
      <w:bookmarkEnd w:id="107"/>
      <w:bookmarkEnd w:id="108"/>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4.3驻点工程师要求</w:t>
      </w:r>
      <w:bookmarkEnd w:id="100"/>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4.3.1驻点工程师必须服从采购人的统一安排；</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 xml:space="preserve">4.3.2驻点工程师应严格遵守学校防疫要求；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4.3.3驻点工程师应严格遵守学校的规章制度和保密制度。</w:t>
      </w:r>
      <w:bookmarkEnd w:id="101"/>
      <w:bookmarkEnd w:id="102"/>
    </w:p>
    <w:p>
      <w:pPr>
        <w:spacing w:line="360" w:lineRule="auto"/>
        <w:rPr>
          <w:rFonts w:cs="宋体" w:asciiTheme="majorEastAsia" w:hAnsiTheme="majorEastAsia" w:eastAsiaTheme="majorEastAsia"/>
          <w:b/>
          <w:bCs/>
          <w:color w:val="000000"/>
          <w:sz w:val="24"/>
        </w:rPr>
      </w:pPr>
      <w:r>
        <w:rPr>
          <w:rFonts w:asciiTheme="majorEastAsia" w:hAnsiTheme="majorEastAsia" w:eastAsiaTheme="majorEastAsia"/>
          <w:b/>
          <w:sz w:val="24"/>
        </w:rPr>
        <w:t>2.</w:t>
      </w:r>
      <w:r>
        <w:rPr>
          <w:rFonts w:hint="eastAsia" w:asciiTheme="majorEastAsia" w:hAnsiTheme="majorEastAsia" w:eastAsiaTheme="majorEastAsia"/>
          <w:b/>
          <w:sz w:val="24"/>
        </w:rPr>
        <w:t>4</w:t>
      </w:r>
      <w:r>
        <w:rPr>
          <w:rFonts w:hint="eastAsia" w:cs="宋体" w:asciiTheme="majorEastAsia" w:hAnsiTheme="majorEastAsia" w:eastAsiaTheme="majorEastAsia"/>
          <w:b/>
          <w:bCs/>
          <w:color w:val="000000"/>
          <w:sz w:val="24"/>
        </w:rPr>
        <w:t>商务要求</w:t>
      </w:r>
    </w:p>
    <w:p>
      <w:pPr>
        <w:spacing w:line="360" w:lineRule="auto"/>
        <w:ind w:firstLine="482" w:firstLineChars="200"/>
        <w:rPr>
          <w:rFonts w:asciiTheme="majorEastAsia" w:hAnsiTheme="majorEastAsia" w:eastAsiaTheme="majorEastAsia"/>
          <w:b/>
          <w:color w:val="000000"/>
          <w:sz w:val="24"/>
        </w:rPr>
      </w:pPr>
      <w:r>
        <w:rPr>
          <w:rFonts w:hint="eastAsia" w:asciiTheme="majorEastAsia" w:hAnsiTheme="majorEastAsia" w:eastAsiaTheme="majorEastAsia"/>
          <w:b/>
          <w:color w:val="000000"/>
          <w:sz w:val="24"/>
        </w:rPr>
        <w:t>1.服务期及地点</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1.1服务期：2023年</w:t>
      </w:r>
      <w:r>
        <w:rPr>
          <w:rFonts w:hint="eastAsia" w:asciiTheme="majorEastAsia" w:hAnsiTheme="majorEastAsia" w:eastAsiaTheme="majorEastAsia"/>
          <w:sz w:val="24"/>
          <w:lang w:val="en-US" w:eastAsia="zh-CN"/>
        </w:rPr>
        <w:t>9</w:t>
      </w:r>
      <w:r>
        <w:rPr>
          <w:rFonts w:hint="eastAsia" w:asciiTheme="majorEastAsia" w:hAnsiTheme="majorEastAsia" w:eastAsiaTheme="majorEastAsia"/>
          <w:sz w:val="24"/>
        </w:rPr>
        <w:t>月</w:t>
      </w:r>
      <w:r>
        <w:rPr>
          <w:rFonts w:hint="eastAsia" w:asciiTheme="majorEastAsia" w:hAnsiTheme="majorEastAsia" w:eastAsiaTheme="majorEastAsia"/>
          <w:sz w:val="24"/>
          <w:lang w:val="en-US" w:eastAsia="zh-CN"/>
        </w:rPr>
        <w:t>8</w:t>
      </w:r>
      <w:r>
        <w:rPr>
          <w:rFonts w:hint="eastAsia" w:asciiTheme="majorEastAsia" w:hAnsiTheme="majorEastAsia" w:eastAsiaTheme="majorEastAsia"/>
          <w:sz w:val="24"/>
        </w:rPr>
        <w:t>日</w:t>
      </w:r>
      <w:r>
        <w:rPr>
          <w:rFonts w:hint="eastAsia" w:asciiTheme="majorEastAsia" w:hAnsiTheme="majorEastAsia" w:eastAsiaTheme="majorEastAsia"/>
          <w:sz w:val="24"/>
          <w:lang w:eastAsia="zh-CN"/>
        </w:rPr>
        <w:t>—</w:t>
      </w:r>
      <w:r>
        <w:rPr>
          <w:rFonts w:hint="eastAsia" w:asciiTheme="majorEastAsia" w:hAnsiTheme="majorEastAsia" w:eastAsiaTheme="majorEastAsia"/>
          <w:sz w:val="24"/>
        </w:rPr>
        <w:t>2024年</w:t>
      </w:r>
      <w:r>
        <w:rPr>
          <w:rFonts w:hint="eastAsia" w:asciiTheme="majorEastAsia" w:hAnsiTheme="majorEastAsia" w:eastAsiaTheme="majorEastAsia"/>
          <w:sz w:val="24"/>
          <w:lang w:val="en-US" w:eastAsia="zh-CN"/>
        </w:rPr>
        <w:t>9</w:t>
      </w:r>
      <w:r>
        <w:rPr>
          <w:rFonts w:hint="eastAsia" w:asciiTheme="majorEastAsia" w:hAnsiTheme="majorEastAsia" w:eastAsiaTheme="majorEastAsia"/>
          <w:sz w:val="24"/>
        </w:rPr>
        <w:t>月</w:t>
      </w:r>
      <w:r>
        <w:rPr>
          <w:rFonts w:hint="eastAsia" w:asciiTheme="majorEastAsia" w:hAnsiTheme="majorEastAsia" w:eastAsiaTheme="majorEastAsia"/>
          <w:sz w:val="24"/>
          <w:lang w:val="en-US" w:eastAsia="zh-CN"/>
        </w:rPr>
        <w:t>7</w:t>
      </w:r>
      <w:r>
        <w:rPr>
          <w:rFonts w:hint="eastAsia" w:asciiTheme="majorEastAsia" w:hAnsiTheme="majorEastAsia" w:eastAsiaTheme="majorEastAsia"/>
          <w:sz w:val="24"/>
        </w:rPr>
        <w:t>日</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1.2服务地点：广东财经大学佛山校区（广东省佛山市三水区云东海街道学海中路1号广东财经大学佛山校区）。</w:t>
      </w:r>
    </w:p>
    <w:p>
      <w:pPr>
        <w:spacing w:line="360" w:lineRule="auto"/>
        <w:ind w:firstLine="482" w:firstLineChars="200"/>
        <w:rPr>
          <w:rFonts w:asciiTheme="majorEastAsia" w:hAnsiTheme="majorEastAsia" w:eastAsiaTheme="majorEastAsia"/>
          <w:b/>
          <w:color w:val="000000"/>
          <w:sz w:val="24"/>
        </w:rPr>
      </w:pPr>
      <w:r>
        <w:rPr>
          <w:rFonts w:hint="eastAsia" w:asciiTheme="majorEastAsia" w:hAnsiTheme="majorEastAsia" w:eastAsiaTheme="majorEastAsia"/>
          <w:b/>
          <w:color w:val="000000"/>
          <w:sz w:val="24"/>
        </w:rPr>
        <w:t>2.履约保证金</w:t>
      </w:r>
    </w:p>
    <w:p>
      <w:pPr>
        <w:spacing w:line="360" w:lineRule="auto"/>
        <w:ind w:firstLine="480" w:firstLineChars="200"/>
        <w:rPr>
          <w:rFonts w:cs="宋体" w:asciiTheme="majorEastAsia" w:hAnsiTheme="majorEastAsia" w:eastAsiaTheme="majorEastAsia"/>
          <w:sz w:val="24"/>
        </w:rPr>
      </w:pPr>
      <w:r>
        <w:rPr>
          <w:rFonts w:hint="eastAsia" w:asciiTheme="majorEastAsia" w:hAnsiTheme="majorEastAsia" w:eastAsiaTheme="majorEastAsia"/>
          <w:sz w:val="24"/>
        </w:rPr>
        <w:t>中标人在合同签订后5个工作日内缴纳中标合同总金额的5%作为履约保证金，采购人接到对服务商有效服务质量投诉第二次开始每次在履约保证金扣伍佰元人民币，扣完采购人有权终止合同。该履约保证金的余额在合同到期3个月后学校无息退回给中标服务商。</w:t>
      </w:r>
    </w:p>
    <w:p>
      <w:pPr>
        <w:spacing w:line="360" w:lineRule="auto"/>
        <w:ind w:firstLine="482" w:firstLineChars="200"/>
        <w:rPr>
          <w:rFonts w:asciiTheme="majorEastAsia" w:hAnsiTheme="majorEastAsia" w:eastAsiaTheme="majorEastAsia"/>
          <w:b/>
          <w:color w:val="000000"/>
          <w:sz w:val="24"/>
        </w:rPr>
      </w:pPr>
      <w:r>
        <w:rPr>
          <w:rFonts w:hint="eastAsia" w:asciiTheme="majorEastAsia" w:hAnsiTheme="majorEastAsia" w:eastAsiaTheme="majorEastAsia"/>
          <w:b/>
          <w:color w:val="000000"/>
          <w:sz w:val="24"/>
        </w:rPr>
        <w:t>3.结算与付款方式</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3.1服务期满6个月后的15天内，中标人按要求履行合同并向学校开具合法的正式发票，在15个工作日内，学校向中标人支付合同总金额的50%；</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3.2服务期12个月后的15天内，中标人按要求履行合同并向学校开具合法的正式发票，在15个工作日内，学校向中标人支付合同总金额的50%；</w:t>
      </w:r>
    </w:p>
    <w:p>
      <w:pPr>
        <w:spacing w:line="360" w:lineRule="auto"/>
        <w:ind w:firstLine="482" w:firstLineChars="200"/>
        <w:rPr>
          <w:rFonts w:asciiTheme="majorEastAsia" w:hAnsiTheme="majorEastAsia" w:eastAsiaTheme="majorEastAsia"/>
          <w:b/>
          <w:color w:val="000000"/>
          <w:sz w:val="24"/>
        </w:rPr>
      </w:pPr>
      <w:r>
        <w:rPr>
          <w:rFonts w:hint="eastAsia" w:asciiTheme="majorEastAsia" w:hAnsiTheme="majorEastAsia" w:eastAsiaTheme="majorEastAsia"/>
          <w:b/>
          <w:color w:val="000000"/>
          <w:sz w:val="24"/>
        </w:rPr>
        <w:t>4.违约处罚</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4.1中标人提供的服务不符合采购文件、投标文件或合同规定的，采购人有权拒收，并且中标人须向采购人支付合同总价5%的违约金。</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4.2对中标人有效服务质量投诉，每次在履约保证金扣伍佰元人民币，扣除的履约保证金中标人须在10工作日内补足。投诉次数达到10次，采购人有权终止合同，中标人须向采购人支付合同总价5%的违约金，采购人因此而造成的经济损失由中标人承担。</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4.3采购人无正当理由到期拒付合同款项的，采购人向中标人偿付合同总价5%的违约金。采购人如果逾期付款，则每日按本合同总价的3‰向中标人偿付违约金。</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4.4其它违约责任按《中华人民共和国民法典》处理。</w:t>
      </w:r>
    </w:p>
    <w:p>
      <w:pPr>
        <w:pStyle w:val="53"/>
        <w:ind w:firstLine="0" w:firstLineChars="0"/>
        <w:rPr>
          <w:rFonts w:asciiTheme="majorEastAsia" w:hAnsiTheme="majorEastAsia" w:eastAsiaTheme="majorEastAsia"/>
          <w:b/>
          <w:color w:val="000000"/>
          <w:sz w:val="24"/>
        </w:rPr>
      </w:pPr>
    </w:p>
    <w:bookmarkEnd w:id="5"/>
    <w:bookmarkEnd w:id="6"/>
    <w:bookmarkEnd w:id="7"/>
    <w:bookmarkEnd w:id="8"/>
    <w:bookmarkEnd w:id="9"/>
    <w:p>
      <w:pPr>
        <w:rPr>
          <w:rFonts w:hint="eastAsia"/>
        </w:rPr>
      </w:pPr>
      <w:bookmarkStart w:id="109" w:name="_Toc20990"/>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rPr>
          <w:rFonts w:hint="eastAsia"/>
          <w:b w:val="0"/>
          <w:bCs w:val="0"/>
        </w:rPr>
      </w:pPr>
    </w:p>
    <w:p>
      <w:pPr>
        <w:pStyle w:val="3"/>
        <w:rPr>
          <w:rFonts w:hint="eastAsia"/>
          <w:b w:val="0"/>
          <w:bCs w:val="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jc w:val="center"/>
        <w:rPr>
          <w:rFonts w:hint="eastAsia"/>
        </w:rPr>
      </w:pPr>
    </w:p>
    <w:p>
      <w:pPr>
        <w:pStyle w:val="3"/>
        <w:jc w:val="both"/>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rPr>
          <w:rFonts w:hint="eastAsia" w:ascii="Arial" w:hAnsi="Arial" w:eastAsia="宋体" w:cs="Times New Roman"/>
        </w:rPr>
      </w:pPr>
      <w:r>
        <w:rPr>
          <w:rFonts w:hint="eastAsia" w:ascii="Arial" w:hAnsi="Arial" w:eastAsia="宋体" w:cs="Times New Roman"/>
        </w:rPr>
        <w:t>第三部分  投标人须知</w:t>
      </w:r>
      <w:bookmarkEnd w:id="109"/>
    </w:p>
    <w:p>
      <w:pPr>
        <w:pStyle w:val="5"/>
        <w:numPr>
          <w:ilvl w:val="0"/>
          <w:numId w:val="2"/>
        </w:numPr>
      </w:pPr>
      <w:bookmarkStart w:id="110" w:name="_Toc275435949"/>
      <w:bookmarkStart w:id="111" w:name="_Toc298325851"/>
      <w:bookmarkStart w:id="112" w:name="_Toc3261"/>
      <w:r>
        <w:rPr>
          <w:rFonts w:hint="eastAsia"/>
        </w:rPr>
        <w:t>说明</w:t>
      </w:r>
      <w:bookmarkEnd w:id="110"/>
      <w:bookmarkEnd w:id="111"/>
      <w:bookmarkEnd w:id="112"/>
    </w:p>
    <w:p>
      <w:pPr>
        <w:numPr>
          <w:ilvl w:val="0"/>
          <w:numId w:val="3"/>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适用范围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本招标文件仅适用于本次招标中所叙述的报价范围。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除特别说明外，本招标文件均适用所有子包（如有的话）。</w:t>
      </w:r>
    </w:p>
    <w:p>
      <w:pPr>
        <w:spacing w:line="400" w:lineRule="exact"/>
        <w:ind w:firstLine="839" w:firstLineChars="365"/>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本招标文件的解释权归广东财经大学所有。</w:t>
      </w:r>
    </w:p>
    <w:p>
      <w:pPr>
        <w:numPr>
          <w:ilvl w:val="0"/>
          <w:numId w:val="3"/>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定义</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“招标人”、“采购人”、“买方”、“甲方”、“学校”、“校方”、“我校”“业主”、“用户”均指广东财经大学，合同的一方当事人。</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“投标人”、“报价人”、“供应商”是指参与本项目竞争的法人。</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“中标人”、“成交人”、“卖方”、“乙方”是指经法定程序确定并授予合同的投标人，合同的一方当事人。</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“货物”是指投标人须向招标人提供</w:t>
      </w:r>
      <w:r>
        <w:rPr>
          <w:rFonts w:hint="eastAsia" w:asciiTheme="minorEastAsia" w:hAnsiTheme="minorEastAsia" w:eastAsiaTheme="minorEastAsia"/>
          <w:snapToGrid w:val="0"/>
          <w:color w:val="000000"/>
          <w:kern w:val="0"/>
          <w:sz w:val="23"/>
          <w:szCs w:val="23"/>
        </w:rPr>
        <w:t>符合国家有关标准并满足招标文件规定</w:t>
      </w:r>
      <w:r>
        <w:rPr>
          <w:rFonts w:hint="eastAsia" w:asciiTheme="minorEastAsia" w:hAnsiTheme="minorEastAsia" w:eastAsiaTheme="minorEastAsia"/>
          <w:color w:val="000000"/>
          <w:sz w:val="23"/>
          <w:szCs w:val="23"/>
        </w:rPr>
        <w:t>的一切设备、机械、工具、产品及其伴随配件、资料等相关服务。招标文件中没有提及招标货物来源地的，根据国家相关规定均应是本国货物，优先采购节能、环保产品。</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“服务”是指投标人须向招标人履行的职责并提供满足招标文件规定的劳务，如技术协助、支持、培训，安装、调试、管理、维护及其所需工具、手册等其它技术资料和材料。</w:t>
      </w:r>
    </w:p>
    <w:p>
      <w:pPr>
        <w:numPr>
          <w:ilvl w:val="0"/>
          <w:numId w:val="3"/>
        </w:numPr>
        <w:spacing w:line="400" w:lineRule="exact"/>
        <w:rPr>
          <w:rFonts w:asciiTheme="minorEastAsia" w:hAnsiTheme="minorEastAsia" w:eastAsiaTheme="minorEastAsia"/>
          <w:b/>
          <w:bCs/>
          <w:color w:val="000000"/>
          <w:sz w:val="23"/>
          <w:szCs w:val="23"/>
        </w:rPr>
      </w:pPr>
      <w:r>
        <w:rPr>
          <w:rFonts w:hint="eastAsia" w:asciiTheme="minorEastAsia" w:hAnsiTheme="minorEastAsia" w:eastAsiaTheme="minorEastAsia"/>
          <w:b/>
          <w:bCs/>
          <w:color w:val="000000"/>
          <w:sz w:val="23"/>
          <w:szCs w:val="23"/>
        </w:rPr>
        <w:t>合格投标人</w:t>
      </w:r>
    </w:p>
    <w:p>
      <w:pPr>
        <w:spacing w:line="360" w:lineRule="auto"/>
        <w:ind w:left="1836" w:leftChars="436" w:hanging="920" w:hangingChars="400"/>
        <w:rPr>
          <w:rFonts w:asciiTheme="minorEastAsia" w:hAnsiTheme="minorEastAsia" w:eastAsiaTheme="minorEastAsia"/>
          <w:sz w:val="23"/>
          <w:szCs w:val="23"/>
        </w:rPr>
      </w:pPr>
      <w:r>
        <w:rPr>
          <w:rFonts w:hint="eastAsia" w:asciiTheme="minorEastAsia" w:hAnsiTheme="minorEastAsia" w:eastAsiaTheme="minorEastAsia"/>
          <w:sz w:val="23"/>
          <w:szCs w:val="23"/>
        </w:rPr>
        <w:t>3.1.3.1投标人须具有独立法人资格，持有相关部门核发的经营证照（复印件加盖公章）；</w:t>
      </w:r>
    </w:p>
    <w:p>
      <w:pPr>
        <w:spacing w:line="360" w:lineRule="auto"/>
        <w:ind w:left="1836" w:leftChars="436" w:hanging="920" w:hangingChars="400"/>
        <w:rPr>
          <w:rFonts w:asciiTheme="minorEastAsia" w:hAnsiTheme="minorEastAsia" w:eastAsiaTheme="minorEastAsia"/>
          <w:sz w:val="23"/>
          <w:szCs w:val="23"/>
        </w:rPr>
      </w:pPr>
      <w:r>
        <w:rPr>
          <w:rFonts w:hint="eastAsia" w:asciiTheme="minorEastAsia" w:hAnsiTheme="minorEastAsia" w:eastAsiaTheme="minorEastAsia"/>
          <w:sz w:val="23"/>
          <w:szCs w:val="23"/>
        </w:rPr>
        <w:t>3.1.3.2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w:t>
      </w:r>
    </w:p>
    <w:p>
      <w:pPr>
        <w:spacing w:line="360" w:lineRule="auto"/>
        <w:ind w:firstLine="920" w:firstLineChars="400"/>
        <w:rPr>
          <w:rFonts w:asciiTheme="minorEastAsia" w:hAnsiTheme="minorEastAsia" w:eastAsiaTheme="minorEastAsia"/>
          <w:sz w:val="23"/>
          <w:szCs w:val="23"/>
        </w:rPr>
      </w:pPr>
      <w:r>
        <w:rPr>
          <w:rFonts w:hint="eastAsia" w:asciiTheme="minorEastAsia" w:hAnsiTheme="minorEastAsia" w:eastAsiaTheme="minorEastAsia"/>
          <w:sz w:val="23"/>
          <w:szCs w:val="23"/>
        </w:rPr>
        <w:t>3.1.3.3本项目招标不接受联合体投标。</w:t>
      </w:r>
    </w:p>
    <w:p/>
    <w:p>
      <w:pPr>
        <w:pStyle w:val="5"/>
        <w:numPr>
          <w:ilvl w:val="0"/>
          <w:numId w:val="5"/>
        </w:numPr>
        <w:tabs>
          <w:tab w:val="left" w:pos="0"/>
        </w:tabs>
      </w:pPr>
      <w:bookmarkStart w:id="113" w:name="_Toc275435950"/>
      <w:bookmarkStart w:id="114" w:name="_Toc5163"/>
      <w:bookmarkStart w:id="115" w:name="_Toc324769693"/>
      <w:r>
        <w:rPr>
          <w:rFonts w:hint="eastAsia"/>
        </w:rPr>
        <w:t>招标文件</w:t>
      </w:r>
      <w:bookmarkEnd w:id="113"/>
      <w:bookmarkEnd w:id="114"/>
      <w:bookmarkEnd w:id="115"/>
    </w:p>
    <w:p>
      <w:pPr>
        <w:numPr>
          <w:ilvl w:val="0"/>
          <w:numId w:val="6"/>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招标文件的构成</w:t>
      </w:r>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投标邀请函。</w:t>
      </w:r>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项目内容及需求。</w:t>
      </w:r>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投标人须知。</w:t>
      </w:r>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评标办法及标准</w:t>
      </w:r>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合同格式及主要条款。</w:t>
      </w:r>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投标文件格式。</w:t>
      </w:r>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招标文件的澄清、修改及补充等其他文件。</w:t>
      </w:r>
    </w:p>
    <w:p>
      <w:pPr>
        <w:pStyle w:val="5"/>
        <w:numPr>
          <w:ilvl w:val="0"/>
          <w:numId w:val="5"/>
        </w:numPr>
        <w:tabs>
          <w:tab w:val="left" w:pos="0"/>
        </w:tabs>
      </w:pPr>
      <w:bookmarkStart w:id="116" w:name="_Toc13076"/>
      <w:bookmarkStart w:id="117" w:name="_Toc324769694"/>
      <w:bookmarkStart w:id="118" w:name="_Toc275435951"/>
      <w:r>
        <w:rPr>
          <w:rFonts w:hint="eastAsia"/>
        </w:rPr>
        <w:t>投标文件</w:t>
      </w:r>
      <w:bookmarkEnd w:id="116"/>
      <w:bookmarkEnd w:id="117"/>
      <w:bookmarkEnd w:id="118"/>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投标文件的构成</w:t>
      </w:r>
    </w:p>
    <w:p>
      <w:pPr>
        <w:spacing w:line="400" w:lineRule="exact"/>
        <w:ind w:left="120" w:leftChars="57" w:firstLine="448" w:firstLineChars="195"/>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投标文件应符合法律法规及招标文件的要求，至少包括下列文件：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3.3.1.1投标函。</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3.3.1.2价格文件。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3.3.1.3技术或服务文件。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3.3.1.5承诺书。</w:t>
      </w:r>
    </w:p>
    <w:p>
      <w:pPr>
        <w:widowControl/>
        <w:spacing w:line="360" w:lineRule="auto"/>
        <w:rPr>
          <w:rFonts w:asciiTheme="minorEastAsia" w:hAnsiTheme="minorEastAsia"/>
          <w:sz w:val="23"/>
          <w:szCs w:val="23"/>
        </w:rPr>
      </w:pPr>
      <w:r>
        <w:rPr>
          <w:rFonts w:hint="eastAsia" w:asciiTheme="minorEastAsia" w:hAnsiTheme="minorEastAsia" w:eastAsiaTheme="minorEastAsia"/>
          <w:color w:val="000000"/>
          <w:sz w:val="23"/>
          <w:szCs w:val="23"/>
        </w:rPr>
        <w:t>3.3.1.6投标资格文件</w:t>
      </w:r>
      <w:r>
        <w:rPr>
          <w:rFonts w:hint="eastAsia" w:asciiTheme="minorEastAsia" w:hAnsiTheme="minorEastAsia" w:eastAsiaTheme="minorEastAsia"/>
          <w:sz w:val="23"/>
          <w:szCs w:val="23"/>
        </w:rPr>
        <w:t>（包括：</w:t>
      </w:r>
      <w:r>
        <w:rPr>
          <w:rFonts w:hint="eastAsia" w:ascii="宋体"/>
          <w:sz w:val="23"/>
          <w:szCs w:val="23"/>
        </w:rPr>
        <w:t>合格投标人资格证明文件、</w:t>
      </w:r>
      <w:r>
        <w:rPr>
          <w:rFonts w:hint="eastAsia" w:ascii="宋体" w:hAnsi="宋体"/>
          <w:sz w:val="23"/>
          <w:szCs w:val="23"/>
        </w:rPr>
        <w:t>法定代表人证明书、授权委托书、投标人认为有必要提供的其他</w:t>
      </w:r>
      <w:r>
        <w:rPr>
          <w:rFonts w:hint="eastAsia" w:ascii="宋体"/>
          <w:sz w:val="23"/>
          <w:szCs w:val="23"/>
        </w:rPr>
        <w:t>资质证书、</w:t>
      </w:r>
      <w:r>
        <w:rPr>
          <w:rFonts w:hint="eastAsia" w:ascii="宋体" w:hAnsi="宋体"/>
          <w:sz w:val="23"/>
          <w:szCs w:val="23"/>
        </w:rPr>
        <w:t>材料）</w:t>
      </w:r>
    </w:p>
    <w:p>
      <w:pPr>
        <w:spacing w:line="400" w:lineRule="exact"/>
        <w:ind w:firstLine="572" w:firstLineChars="249"/>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以上文件相关格式、内容及要求请见招标文件第六部分。</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投标文件的编制</w:t>
      </w:r>
    </w:p>
    <w:p>
      <w:pPr>
        <w:tabs>
          <w:tab w:val="left" w:pos="0"/>
        </w:tabs>
        <w:spacing w:line="400" w:lineRule="exact"/>
        <w:ind w:left="805" w:hanging="805" w:hangingChars="350"/>
        <w:rPr>
          <w:rFonts w:asciiTheme="minorEastAsia" w:hAnsiTheme="minorEastAsia" w:eastAsiaTheme="minorEastAsia"/>
          <w:color w:val="000000"/>
          <w:sz w:val="23"/>
          <w:szCs w:val="23"/>
        </w:rPr>
      </w:pPr>
      <w:r>
        <w:rPr>
          <w:rFonts w:hint="eastAsia" w:cs="MS Shell Dlg" w:asciiTheme="minorEastAsia" w:hAnsiTheme="minorEastAsia" w:eastAsiaTheme="minorEastAsia"/>
          <w:color w:val="000000"/>
          <w:sz w:val="23"/>
          <w:szCs w:val="23"/>
        </w:rPr>
        <w:t>3.3.2.1投标人在获取招标文件后，应当按照招标文件的要求自主编制投标文件，投标文件应当对招标文件提出的实质性要求和条件作出明确的响应。</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3.3.2.2投标人应采用Office软件的Excel或Word中文版（A4纸）制作投标文件，图片、印刷文件以及招标文件另有规定的除外，并有封面、目录、流水页码。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3.3.2.4投标人必须对投标文件所提供的全部资料的真实性承担法律责任，并无条件接受招标人及上级相关监督管理部门等对其中任何资料进行核实的要求。</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3.3.3.1投标人应按照招标文件规定的内容、责任范围进行报价，并按《价格文件》确定的格式报价。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 xml:space="preserve">  投标文件的装订与签署</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3.3.4.1投标文件一律用A4纸（图纸、效果图等招标文件有特别说明的除外）打印，每套投标文件应独立装订成册。</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3.3.4.2投标人应准备投标文件正本1套、副本4套，每套投标文件须清楚地标明“正本”或“副本”。一旦正本和副本不符，以正本为准。</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3.3.4.3投标文件应由投标人的法定代表人或代理人在投标文件上签字。任何行间插字、涂改和增删的，必须由投标文件签字人在旁边签字确认，并加盖投标人公章。</w:t>
      </w:r>
    </w:p>
    <w:p>
      <w:pPr>
        <w:tabs>
          <w:tab w:val="left" w:pos="0"/>
        </w:tabs>
        <w:spacing w:line="400" w:lineRule="exact"/>
        <w:ind w:left="690" w:hanging="690" w:hangingChars="3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3.3.4.4因投标文件装订质量或不可抗力事件而造成的一切后果，招标人概不承担责任。</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 xml:space="preserve">  投标文件的密封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3.3.5.1投标人应将投标文件正本、副本装入信封或封套中，且在信封或封套上标明“正本”或“副本”字样。</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3.3.5.2信封或封套均应按以下要求清晰标记：</w:t>
      </w:r>
    </w:p>
    <w:tbl>
      <w:tblPr>
        <w:tblStyle w:val="43"/>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收 件 人：</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广东财经大学佛山校区管理委员会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 xml:space="preserve">项目名称：                     </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项目编号：</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在开标时间（</w:t>
            </w:r>
            <w:r>
              <w:rPr>
                <w:rFonts w:hint="eastAsia" w:asciiTheme="minorEastAsia" w:hAnsiTheme="minorEastAsia" w:eastAsiaTheme="minorEastAsia"/>
                <w:color w:val="000000"/>
                <w:sz w:val="23"/>
                <w:szCs w:val="23"/>
                <w:u w:val="single"/>
              </w:rPr>
              <w:t xml:space="preserve">     年   月  日   时）</w:t>
            </w:r>
            <w:r>
              <w:rPr>
                <w:rFonts w:hint="eastAsia" w:asciiTheme="minorEastAsia" w:hAnsiTheme="minorEastAsia" w:eastAsiaTheme="minorEastAsia"/>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投标代表人姓名：</w:t>
            </w: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 xml:space="preserve">     </w:t>
            </w:r>
            <w:r>
              <w:rPr>
                <w:rFonts w:hint="eastAsia" w:asciiTheme="minorEastAsia" w:hAnsiTheme="minorEastAsia" w:eastAsiaTheme="minorEastAsia"/>
                <w:color w:val="000000"/>
                <w:sz w:val="23"/>
                <w:szCs w:val="23"/>
                <w:u w:val="single"/>
              </w:rPr>
              <w:t xml:space="preserve">               </w:t>
            </w:r>
          </w:p>
        </w:tc>
        <w:tc>
          <w:tcPr>
            <w:tcW w:w="3768" w:type="dxa"/>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联系电话：</w:t>
            </w:r>
            <w:r>
              <w:rPr>
                <w:rFonts w:hint="eastAsia" w:asciiTheme="minorEastAsia" w:hAnsiTheme="minorEastAsia" w:eastAsiaTheme="minorEastAsia"/>
                <w:color w:val="000000"/>
                <w:sz w:val="23"/>
                <w:szCs w:val="23"/>
                <w:u w:val="single"/>
              </w:rPr>
              <w:t xml:space="preserve">            </w:t>
            </w:r>
          </w:p>
        </w:tc>
      </w:tr>
    </w:tbl>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3.3.5.3信封或封套的封口处加盖供应商公章。</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3.3.5.4信封或封套未按上述要求密封和加写标记的，造成投标文件涉密、误投或过早启封，招标人概不负责。</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投标文件的递交</w:t>
      </w:r>
    </w:p>
    <w:p>
      <w:pPr>
        <w:tabs>
          <w:tab w:val="left" w:pos="0"/>
        </w:tabs>
        <w:spacing w:line="400" w:lineRule="exact"/>
        <w:ind w:left="920" w:hanging="920" w:hangingChars="400"/>
        <w:rPr>
          <w:rFonts w:ascii="宋体" w:hAnsi="宋体"/>
          <w:color w:val="000000"/>
          <w:sz w:val="23"/>
          <w:szCs w:val="23"/>
        </w:rPr>
      </w:pPr>
      <w:r>
        <w:rPr>
          <w:rFonts w:hint="eastAsia" w:asciiTheme="minorEastAsia" w:hAnsiTheme="minorEastAsia" w:eastAsiaTheme="minorEastAsia"/>
          <w:color w:val="000000"/>
          <w:sz w:val="23"/>
          <w:szCs w:val="23"/>
        </w:rPr>
        <w:t>3.3.6.1投标人应当在招标文件要求递</w:t>
      </w:r>
      <w:r>
        <w:rPr>
          <w:rFonts w:hint="eastAsia" w:ascii="宋体" w:hAnsi="宋体"/>
          <w:color w:val="000000"/>
          <w:sz w:val="23"/>
          <w:szCs w:val="23"/>
        </w:rPr>
        <w:t>交投标文件的截止时间（开标时间）前或指定的时间，将投标文件送达指定地点。</w:t>
      </w:r>
    </w:p>
    <w:p>
      <w:pPr>
        <w:tabs>
          <w:tab w:val="left" w:pos="0"/>
        </w:tabs>
        <w:spacing w:line="400" w:lineRule="exact"/>
        <w:ind w:left="3" w:leftChars="-19" w:hanging="43" w:hangingChars="19"/>
        <w:rPr>
          <w:rFonts w:ascii="宋体" w:hAnsi="宋体"/>
          <w:color w:val="000000"/>
          <w:sz w:val="23"/>
          <w:szCs w:val="23"/>
        </w:rPr>
      </w:pPr>
      <w:r>
        <w:rPr>
          <w:rFonts w:hint="eastAsia" w:ascii="宋体" w:hAnsi="宋体"/>
          <w:color w:val="000000"/>
          <w:sz w:val="23"/>
          <w:szCs w:val="23"/>
        </w:rPr>
        <w:t>3.3.6.2</w:t>
      </w:r>
      <w:r>
        <w:rPr>
          <w:rFonts w:ascii="宋体" w:hAnsi="宋体"/>
          <w:color w:val="000000"/>
          <w:sz w:val="23"/>
          <w:szCs w:val="23"/>
        </w:rPr>
        <w:t>未密封</w:t>
      </w:r>
      <w:r>
        <w:rPr>
          <w:rFonts w:hint="eastAsia" w:ascii="宋体" w:hAnsi="宋体"/>
          <w:color w:val="000000"/>
          <w:sz w:val="23"/>
          <w:szCs w:val="23"/>
        </w:rPr>
        <w:t>或在投标截止时间后送达的投标文件，招标人不予接收。</w:t>
      </w:r>
    </w:p>
    <w:p>
      <w:pPr>
        <w:numPr>
          <w:ilvl w:val="0"/>
          <w:numId w:val="8"/>
        </w:numPr>
        <w:spacing w:line="400" w:lineRule="exact"/>
        <w:rPr>
          <w:rFonts w:ascii="宋体" w:hAnsi="宋体"/>
          <w:color w:val="000000"/>
          <w:sz w:val="23"/>
          <w:szCs w:val="23"/>
        </w:rPr>
      </w:pPr>
      <w:r>
        <w:rPr>
          <w:rFonts w:hint="eastAsia" w:ascii="宋体" w:hAnsi="宋体"/>
          <w:color w:val="000000"/>
          <w:sz w:val="23"/>
          <w:szCs w:val="23"/>
        </w:rPr>
        <w:t>投标保证金</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3.3.7.1本项目不需要提交投标保证金，但</w:t>
      </w:r>
      <w:r>
        <w:rPr>
          <w:rFonts w:hint="eastAsia" w:ascii="宋体" w:hAnsi="宋体"/>
          <w:bCs/>
          <w:color w:val="000000"/>
          <w:sz w:val="23"/>
          <w:szCs w:val="23"/>
        </w:rPr>
        <w:t>因投标人</w:t>
      </w:r>
      <w:r>
        <w:rPr>
          <w:rFonts w:hint="eastAsia" w:ascii="宋体" w:hAnsi="宋体"/>
          <w:color w:val="000000"/>
          <w:sz w:val="23"/>
          <w:szCs w:val="23"/>
        </w:rPr>
        <w:t>出现以下行为之一</w:t>
      </w:r>
      <w:r>
        <w:rPr>
          <w:rFonts w:hint="eastAsia" w:ascii="宋体" w:hAnsi="宋体"/>
          <w:bCs/>
          <w:color w:val="000000"/>
          <w:sz w:val="23"/>
          <w:szCs w:val="23"/>
        </w:rPr>
        <w:t>而造成招标人受到损害、损失的</w:t>
      </w:r>
      <w:r>
        <w:rPr>
          <w:rFonts w:hint="eastAsia" w:ascii="宋体" w:hAnsi="宋体"/>
          <w:color w:val="000000"/>
          <w:sz w:val="23"/>
          <w:szCs w:val="23"/>
        </w:rPr>
        <w:t>投标人必须承担赔偿招标人损失的责任，赔偿金额为本项目采购预算总金额的1%，若造成的损失超过本项目预算金额的1%的，投标人还必须对超过部分予以赔偿。</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3.3.7.2投标人在招标文件规定的投标有效期内撤回其投标或投标文件。</w:t>
      </w:r>
    </w:p>
    <w:p>
      <w:pPr>
        <w:tabs>
          <w:tab w:val="left" w:pos="0"/>
        </w:tabs>
        <w:spacing w:line="400" w:lineRule="exact"/>
        <w:rPr>
          <w:color w:val="000000"/>
          <w:sz w:val="23"/>
          <w:szCs w:val="23"/>
        </w:rPr>
      </w:pPr>
      <w:r>
        <w:rPr>
          <w:rFonts w:hint="eastAsia" w:ascii="宋体" w:hAnsi="宋体"/>
          <w:color w:val="000000"/>
          <w:sz w:val="23"/>
          <w:szCs w:val="23"/>
        </w:rPr>
        <w:t>3.3.7.3中标人未能按招标文件要求与招标人签订合同。</w:t>
      </w:r>
    </w:p>
    <w:p>
      <w:pPr>
        <w:pStyle w:val="3"/>
        <w:rPr>
          <w:color w:val="000000"/>
          <w:sz w:val="23"/>
          <w:szCs w:val="23"/>
        </w:rPr>
      </w:pPr>
      <w:bookmarkStart w:id="119" w:name="_Toc25131"/>
      <w:bookmarkStart w:id="120" w:name="_Toc298325866"/>
      <w:r>
        <w:rPr>
          <w:rFonts w:hint="eastAsia"/>
        </w:rPr>
        <w:t>第四部分  评标办法、资格性审查及评标标准</w:t>
      </w:r>
      <w:bookmarkEnd w:id="119"/>
      <w:bookmarkEnd w:id="120"/>
    </w:p>
    <w:p>
      <w:pPr>
        <w:pStyle w:val="5"/>
        <w:numPr>
          <w:ilvl w:val="0"/>
          <w:numId w:val="9"/>
        </w:numPr>
      </w:pPr>
      <w:bookmarkStart w:id="121" w:name="_Toc28444"/>
      <w:bookmarkStart w:id="122" w:name="_Toc298325867"/>
      <w:bookmarkStart w:id="123" w:name="_Toc279072807"/>
      <w:r>
        <w:rPr>
          <w:rFonts w:hint="eastAsia"/>
        </w:rPr>
        <w:t>评标方法</w:t>
      </w:r>
      <w:bookmarkEnd w:id="121"/>
      <w:bookmarkEnd w:id="122"/>
      <w:bookmarkEnd w:id="123"/>
    </w:p>
    <w:p>
      <w:pPr>
        <w:snapToGrid w:val="0"/>
        <w:spacing w:line="360" w:lineRule="auto"/>
        <w:rPr>
          <w:rFonts w:ascii="宋体" w:hAnsi="宋体"/>
          <w:color w:val="000000"/>
          <w:sz w:val="24"/>
        </w:rPr>
      </w:pPr>
      <w:r>
        <w:rPr>
          <w:rFonts w:hint="eastAsia" w:ascii="宋体" w:hAnsi="宋体"/>
          <w:color w:val="000000"/>
          <w:sz w:val="24"/>
        </w:rPr>
        <w:t>4.1.1 本次评标采用</w:t>
      </w:r>
      <w:r>
        <w:rPr>
          <w:rFonts w:hint="eastAsia" w:ascii="宋体" w:hAnsi="宋体"/>
          <w:b/>
          <w:bCs/>
          <w:color w:val="000000"/>
          <w:sz w:val="24"/>
          <w:u w:val="single"/>
        </w:rPr>
        <w:t xml:space="preserve">综合评分法 </w:t>
      </w:r>
      <w:r>
        <w:rPr>
          <w:rFonts w:hint="eastAsia" w:ascii="宋体" w:hAnsi="宋体"/>
          <w:b/>
          <w:bCs/>
          <w:color w:val="000000"/>
          <w:sz w:val="24"/>
        </w:rPr>
        <w:t>，</w:t>
      </w:r>
      <w:r>
        <w:rPr>
          <w:rFonts w:hint="eastAsia" w:ascii="宋体" w:hAnsi="宋体"/>
          <w:color w:val="000000"/>
          <w:sz w:val="24"/>
        </w:rPr>
        <w:t>即在最大限度地满足招标文件实质性要求的前提下，按照招标文件中规定的各项因素进行综合评审后，以评标总得分最高的投标人作为中标候选人。</w:t>
      </w:r>
    </w:p>
    <w:p>
      <w:pPr>
        <w:pStyle w:val="5"/>
      </w:pPr>
      <w:bookmarkStart w:id="124" w:name="_Toc154"/>
      <w:r>
        <w:rPr>
          <w:rFonts w:hint="eastAsia"/>
        </w:rPr>
        <w:t>4.2  资格性审查</w:t>
      </w:r>
      <w:bookmarkEnd w:id="124"/>
    </w:p>
    <w:p>
      <w:pPr>
        <w:spacing w:line="360" w:lineRule="auto"/>
        <w:jc w:val="left"/>
        <w:rPr>
          <w:rFonts w:ascii="宋体" w:hAnsi="宋体"/>
          <w:color w:val="000000"/>
          <w:sz w:val="24"/>
        </w:rPr>
      </w:pPr>
      <w:r>
        <w:rPr>
          <w:rFonts w:hint="eastAsia" w:ascii="宋体" w:hAnsi="宋体"/>
          <w:color w:val="000000"/>
          <w:sz w:val="24"/>
        </w:rPr>
        <w:t>详见资格性审查表    （附表一）。</w:t>
      </w:r>
    </w:p>
    <w:p>
      <w:pPr>
        <w:pStyle w:val="5"/>
      </w:pPr>
      <w:bookmarkStart w:id="125" w:name="_Toc20060"/>
      <w:r>
        <w:rPr>
          <w:rFonts w:hint="eastAsia"/>
        </w:rPr>
        <w:t>4.3  权重分配表</w:t>
      </w:r>
      <w:bookmarkEnd w:id="125"/>
    </w:p>
    <w:p>
      <w:pPr>
        <w:spacing w:line="360" w:lineRule="auto"/>
        <w:jc w:val="left"/>
        <w:rPr>
          <w:rFonts w:ascii="宋体" w:hAnsi="宋体"/>
          <w:color w:val="000000"/>
          <w:sz w:val="24"/>
        </w:rPr>
      </w:pPr>
      <w:r>
        <w:rPr>
          <w:rFonts w:hint="eastAsia" w:ascii="宋体" w:hAnsi="宋体"/>
          <w:color w:val="000000"/>
          <w:sz w:val="24"/>
        </w:rPr>
        <w:t>详见权重分配表      （附表二）。</w:t>
      </w:r>
    </w:p>
    <w:p>
      <w:pPr>
        <w:pStyle w:val="5"/>
      </w:pPr>
      <w:bookmarkStart w:id="126" w:name="_Toc7376"/>
      <w:r>
        <w:rPr>
          <w:rFonts w:hint="eastAsia"/>
        </w:rPr>
        <w:t>4.4  评标标准</w:t>
      </w:r>
      <w:bookmarkEnd w:id="126"/>
    </w:p>
    <w:p>
      <w:pPr>
        <w:spacing w:line="360" w:lineRule="auto"/>
        <w:jc w:val="left"/>
        <w:rPr>
          <w:rFonts w:ascii="宋体" w:hAnsi="宋体"/>
          <w:color w:val="000000"/>
          <w:sz w:val="24"/>
        </w:rPr>
      </w:pPr>
      <w:r>
        <w:rPr>
          <w:rFonts w:hint="eastAsia" w:ascii="宋体" w:hAnsi="宋体"/>
          <w:color w:val="000000"/>
          <w:sz w:val="24"/>
        </w:rPr>
        <w:t>（1）价格评分标准：详见《价格评分表》  （附表三）。</w:t>
      </w:r>
    </w:p>
    <w:p>
      <w:pPr>
        <w:spacing w:line="360" w:lineRule="auto"/>
        <w:jc w:val="left"/>
        <w:rPr>
          <w:rFonts w:ascii="宋体" w:hAnsi="宋体"/>
          <w:color w:val="000000"/>
          <w:sz w:val="24"/>
        </w:rPr>
      </w:pPr>
      <w:r>
        <w:rPr>
          <w:rFonts w:hint="eastAsia" w:ascii="宋体" w:hAnsi="宋体"/>
          <w:color w:val="000000"/>
          <w:sz w:val="24"/>
        </w:rPr>
        <w:t>（2）商务评分标准：详见《商务评分表》  （附表四）。</w:t>
      </w:r>
    </w:p>
    <w:p>
      <w:pPr>
        <w:spacing w:line="360" w:lineRule="auto"/>
        <w:jc w:val="left"/>
        <w:rPr>
          <w:rFonts w:ascii="宋体" w:hAnsi="宋体"/>
          <w:color w:val="000000"/>
          <w:sz w:val="24"/>
        </w:rPr>
      </w:pPr>
      <w:r>
        <w:rPr>
          <w:rFonts w:hint="eastAsia" w:ascii="宋体" w:hAnsi="宋体"/>
          <w:color w:val="000000"/>
          <w:sz w:val="24"/>
        </w:rPr>
        <w:t>（3）技术评分标准：详见《技术评分表》  （附表五）。</w:t>
      </w:r>
    </w:p>
    <w:p>
      <w:pPr>
        <w:spacing w:line="360" w:lineRule="auto"/>
        <w:jc w:val="left"/>
        <w:rPr>
          <w:rFonts w:ascii="宋体" w:hAnsi="宋体"/>
          <w:color w:val="000000"/>
          <w:szCs w:val="21"/>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3"/>
        <w:spacing w:before="0" w:after="0"/>
        <w:jc w:val="both"/>
        <w:rPr>
          <w:rFonts w:ascii="宋体" w:hAnsi="宋体"/>
          <w:color w:val="000000"/>
          <w:szCs w:val="23"/>
        </w:rPr>
        <w:sectPr>
          <w:footerReference r:id="rId10" w:type="first"/>
          <w:footerReference r:id="rId9" w:type="default"/>
          <w:pgSz w:w="11907" w:h="16840"/>
          <w:pgMar w:top="1440" w:right="1467" w:bottom="1440" w:left="1758" w:header="851" w:footer="992" w:gutter="0"/>
          <w:pgNumType w:chapStyle="1"/>
          <w:cols w:space="720" w:num="1"/>
          <w:titlePg/>
          <w:docGrid w:type="lines" w:linePitch="312" w:charSpace="0"/>
        </w:sectPr>
      </w:pPr>
    </w:p>
    <w:p>
      <w:pPr>
        <w:jc w:val="left"/>
        <w:rPr>
          <w:rFonts w:ascii="宋体" w:hAnsi="宋体"/>
          <w:color w:val="000000"/>
          <w:sz w:val="23"/>
          <w:szCs w:val="23"/>
        </w:rPr>
      </w:pPr>
      <w:r>
        <w:rPr>
          <w:rFonts w:hint="eastAsia"/>
          <w:b/>
          <w:bCs/>
          <w:sz w:val="28"/>
          <w:szCs w:val="28"/>
        </w:rPr>
        <w:t xml:space="preserve">附表一：                 </w:t>
      </w:r>
      <w:r>
        <w:rPr>
          <w:rFonts w:hint="eastAsia" w:ascii="宋体" w:hAnsi="宋体"/>
          <w:b/>
          <w:bCs/>
          <w:color w:val="000000"/>
          <w:sz w:val="28"/>
          <w:szCs w:val="28"/>
        </w:rPr>
        <w:t>资格性审查表</w:t>
      </w:r>
    </w:p>
    <w:tbl>
      <w:tblPr>
        <w:tblStyle w:val="4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144"/>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36"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8973" w:type="dxa"/>
            <w:gridSpan w:val="2"/>
            <w:shd w:val="clear" w:color="auto" w:fill="C0C0C0"/>
            <w:vAlign w:val="center"/>
          </w:tcPr>
          <w:p>
            <w:pPr>
              <w:rPr>
                <w:rFonts w:ascii="宋体" w:hAnsi="宋体"/>
                <w:color w:val="000000"/>
                <w:sz w:val="23"/>
                <w:szCs w:val="23"/>
              </w:rPr>
            </w:pPr>
            <w:r>
              <w:rPr>
                <w:rFonts w:hint="eastAsia" w:ascii="宋体" w:hAnsi="宋体"/>
                <w:color w:val="000000"/>
                <w:sz w:val="23"/>
                <w:szCs w:val="23"/>
              </w:rPr>
              <w:t>审查内容及要求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09" w:type="dxa"/>
            <w:gridSpan w:val="3"/>
            <w:vAlign w:val="center"/>
          </w:tcPr>
          <w:p>
            <w:pPr>
              <w:rPr>
                <w:rFonts w:ascii="宋体" w:hAnsi="宋体"/>
                <w:sz w:val="23"/>
                <w:szCs w:val="23"/>
              </w:rPr>
            </w:pPr>
            <w:r>
              <w:rPr>
                <w:rFonts w:hint="eastAsia" w:ascii="宋体" w:hAnsi="宋体"/>
                <w:sz w:val="23"/>
                <w:szCs w:val="23"/>
              </w:rPr>
              <w:t xml:space="preserve">  </w:t>
            </w:r>
            <w:r>
              <w:rPr>
                <w:rFonts w:hint="eastAsia" w:ascii="宋体" w:hAnsi="宋体"/>
                <w:b/>
                <w:bCs/>
                <w:sz w:val="23"/>
                <w:szCs w:val="23"/>
              </w:rPr>
              <w:t>（一）资格性审查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序号</w:t>
            </w:r>
          </w:p>
        </w:tc>
        <w:tc>
          <w:tcPr>
            <w:tcW w:w="8144" w:type="dxa"/>
            <w:vAlign w:val="center"/>
          </w:tcPr>
          <w:p>
            <w:pPr>
              <w:spacing w:line="0" w:lineRule="atLeast"/>
              <w:jc w:val="center"/>
              <w:rPr>
                <w:rFonts w:ascii="宋体" w:hAnsi="宋体"/>
                <w:sz w:val="23"/>
                <w:szCs w:val="23"/>
              </w:rPr>
            </w:pPr>
            <w:r>
              <w:rPr>
                <w:rFonts w:hint="eastAsia" w:ascii="宋体" w:hAnsi="宋体"/>
                <w:sz w:val="23"/>
                <w:szCs w:val="23"/>
              </w:rPr>
              <w:t>审查内容及标准</w:t>
            </w:r>
          </w:p>
        </w:tc>
        <w:tc>
          <w:tcPr>
            <w:tcW w:w="829" w:type="dxa"/>
            <w:vAlign w:val="center"/>
          </w:tcPr>
          <w:p>
            <w:pPr>
              <w:spacing w:line="0" w:lineRule="atLeast"/>
              <w:jc w:val="center"/>
              <w:rPr>
                <w:rFonts w:ascii="宋体" w:hAnsi="宋体"/>
                <w:sz w:val="23"/>
                <w:szCs w:val="23"/>
              </w:rPr>
            </w:pPr>
            <w:r>
              <w:rPr>
                <w:rFonts w:hint="eastAsia" w:ascii="宋体" w:hAnsi="宋体"/>
                <w:sz w:val="23"/>
                <w:szCs w:val="23"/>
              </w:rPr>
              <w:t>审查</w:t>
            </w:r>
          </w:p>
          <w:p>
            <w:pPr>
              <w:spacing w:line="0" w:lineRule="atLeast"/>
              <w:jc w:val="center"/>
              <w:rPr>
                <w:rFonts w:ascii="宋体" w:hAnsi="宋体"/>
                <w:sz w:val="23"/>
                <w:szCs w:val="23"/>
              </w:rPr>
            </w:pPr>
            <w:r>
              <w:rPr>
                <w:rFonts w:hint="eastAsia" w:ascii="宋体" w:hAnsi="宋体"/>
                <w:sz w:val="23"/>
                <w:szCs w:val="23"/>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1</w:t>
            </w:r>
          </w:p>
        </w:tc>
        <w:tc>
          <w:tcPr>
            <w:tcW w:w="8144" w:type="dxa"/>
            <w:vAlign w:val="center"/>
          </w:tcPr>
          <w:p>
            <w:pPr>
              <w:adjustRightInd w:val="0"/>
              <w:snapToGrid w:val="0"/>
              <w:rPr>
                <w:rFonts w:ascii="宋体" w:hAnsi="宋体"/>
                <w:color w:val="FF0000"/>
                <w:sz w:val="23"/>
                <w:szCs w:val="23"/>
              </w:rPr>
            </w:pPr>
            <w:r>
              <w:rPr>
                <w:rFonts w:hint="eastAsia" w:ascii="宋体" w:hAnsi="宋体"/>
                <w:sz w:val="23"/>
                <w:szCs w:val="23"/>
              </w:rPr>
              <w:t>投标人须具有独立法人资格，持有相关部门核发的经营证照。</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2</w:t>
            </w:r>
          </w:p>
        </w:tc>
        <w:tc>
          <w:tcPr>
            <w:tcW w:w="8144" w:type="dxa"/>
            <w:vAlign w:val="center"/>
          </w:tcPr>
          <w:p>
            <w:pPr>
              <w:adjustRightInd w:val="0"/>
              <w:snapToGrid w:val="0"/>
              <w:rPr>
                <w:rFonts w:ascii="宋体" w:hAnsi="宋体"/>
                <w:color w:val="FF0000"/>
                <w:sz w:val="23"/>
                <w:szCs w:val="23"/>
              </w:rPr>
            </w:pPr>
            <w:r>
              <w:rPr>
                <w:rFonts w:hint="eastAsia" w:ascii="宋体" w:hAnsi="宋体"/>
                <w:sz w:val="23"/>
                <w:szCs w:val="23"/>
              </w:rPr>
              <w:t>投标人未被列入“信用中国”网站(www.creditchina.gov.cn)“记录失信被执行人或重大税收违法案件当事人名单或政府采购严重违法失信行为”记录名单；不处于中国政府采购(www.ccgp.gov.cn)“政府采购严重违法失信行为信息记录”中的禁止参加政府采购活动期间。（以采购人于报价截止日当天在“信用中国”网站（www.creditchina.gov.cn）及中国政府采购网(www.ccgp.gov.cn)查询结果为准，如相关失信记录已失效，投标人在投标时需提供相关证明资料）。</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3</w:t>
            </w:r>
          </w:p>
        </w:tc>
        <w:tc>
          <w:tcPr>
            <w:tcW w:w="8144" w:type="dxa"/>
            <w:vAlign w:val="center"/>
          </w:tcPr>
          <w:p>
            <w:pPr>
              <w:adjustRightInd w:val="0"/>
              <w:snapToGrid w:val="0"/>
              <w:rPr>
                <w:rFonts w:hint="eastAsia" w:ascii="宋体" w:hAnsi="宋体" w:eastAsia="宋体" w:cs="Times New Roman"/>
                <w:sz w:val="23"/>
                <w:szCs w:val="23"/>
              </w:rPr>
            </w:pPr>
            <w:r>
              <w:rPr>
                <w:rFonts w:hint="eastAsia" w:ascii="宋体" w:hAnsi="宋体" w:eastAsia="宋体" w:cs="Times New Roman"/>
                <w:sz w:val="23"/>
                <w:szCs w:val="23"/>
              </w:rPr>
              <w:t>法定代表人证明书</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4</w:t>
            </w:r>
          </w:p>
        </w:tc>
        <w:tc>
          <w:tcPr>
            <w:tcW w:w="8144" w:type="dxa"/>
            <w:vAlign w:val="center"/>
          </w:tcPr>
          <w:p>
            <w:pPr>
              <w:adjustRightInd w:val="0"/>
              <w:snapToGrid w:val="0"/>
              <w:rPr>
                <w:rFonts w:hint="eastAsia" w:ascii="宋体" w:hAnsi="宋体" w:eastAsia="宋体" w:cs="Times New Roman"/>
                <w:sz w:val="23"/>
                <w:szCs w:val="23"/>
              </w:rPr>
            </w:pPr>
            <w:r>
              <w:rPr>
                <w:rFonts w:hint="eastAsia" w:ascii="宋体" w:hAnsi="宋体" w:eastAsia="宋体" w:cs="Times New Roman"/>
                <w:sz w:val="23"/>
                <w:szCs w:val="23"/>
              </w:rPr>
              <w:t>授权委托书（非法人投标时提供）</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5</w:t>
            </w:r>
          </w:p>
        </w:tc>
        <w:tc>
          <w:tcPr>
            <w:tcW w:w="8144" w:type="dxa"/>
            <w:vAlign w:val="center"/>
          </w:tcPr>
          <w:p>
            <w:pPr>
              <w:adjustRightInd w:val="0"/>
              <w:snapToGrid w:val="0"/>
              <w:rPr>
                <w:rFonts w:hint="eastAsia" w:ascii="宋体" w:hAnsi="宋体" w:eastAsia="宋体" w:cs="Times New Roman"/>
                <w:sz w:val="23"/>
                <w:szCs w:val="23"/>
              </w:rPr>
            </w:pPr>
            <w:r>
              <w:rPr>
                <w:rFonts w:hint="eastAsia" w:ascii="宋体" w:hAnsi="宋体" w:eastAsia="宋体" w:cs="Times New Roman"/>
                <w:sz w:val="23"/>
                <w:szCs w:val="23"/>
              </w:rPr>
              <w:t>法人身份证原件及复印件1份（法人投标时）</w:t>
            </w:r>
          </w:p>
          <w:p>
            <w:pPr>
              <w:adjustRightInd w:val="0"/>
              <w:snapToGrid w:val="0"/>
              <w:ind w:firstLine="2070" w:firstLineChars="900"/>
              <w:rPr>
                <w:rFonts w:hint="eastAsia" w:ascii="宋体" w:hAnsi="宋体" w:eastAsia="宋体" w:cs="Times New Roman"/>
                <w:sz w:val="23"/>
                <w:szCs w:val="23"/>
              </w:rPr>
            </w:pPr>
            <w:r>
              <w:rPr>
                <w:rFonts w:hint="eastAsia" w:ascii="宋体" w:hAnsi="宋体" w:eastAsia="宋体" w:cs="Times New Roman"/>
                <w:sz w:val="23"/>
                <w:szCs w:val="23"/>
              </w:rPr>
              <w:t>或</w:t>
            </w:r>
          </w:p>
          <w:p>
            <w:pPr>
              <w:adjustRightInd w:val="0"/>
              <w:snapToGrid w:val="0"/>
              <w:rPr>
                <w:rFonts w:hint="eastAsia" w:ascii="宋体" w:hAnsi="宋体" w:eastAsia="宋体" w:cs="Times New Roman"/>
                <w:sz w:val="23"/>
                <w:szCs w:val="23"/>
              </w:rPr>
            </w:pPr>
            <w:r>
              <w:rPr>
                <w:rFonts w:hint="eastAsia" w:ascii="宋体" w:hAnsi="宋体" w:eastAsia="宋体" w:cs="Times New Roman"/>
                <w:sz w:val="23"/>
                <w:szCs w:val="23"/>
              </w:rPr>
              <w:t>被委托人身份证原件和复印件1份及法人身份证复印件1份（非法人投标时）</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6</w:t>
            </w:r>
          </w:p>
        </w:tc>
        <w:tc>
          <w:tcPr>
            <w:tcW w:w="8144" w:type="dxa"/>
            <w:vAlign w:val="center"/>
          </w:tcPr>
          <w:p>
            <w:pPr>
              <w:adjustRightInd w:val="0"/>
              <w:snapToGrid w:val="0"/>
              <w:rPr>
                <w:rFonts w:hint="eastAsia" w:ascii="宋体" w:hAnsi="宋体" w:eastAsia="宋体" w:cs="Times New Roman"/>
                <w:sz w:val="23"/>
                <w:szCs w:val="23"/>
              </w:rPr>
            </w:pPr>
            <w:r>
              <w:rPr>
                <w:rFonts w:hint="eastAsia" w:ascii="宋体" w:hAnsi="宋体" w:eastAsia="宋体" w:cs="Times New Roman"/>
                <w:sz w:val="23"/>
                <w:szCs w:val="23"/>
              </w:rPr>
              <w:t>本项目不接受联合体投标。（模板见本招标文件）</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80" w:type="dxa"/>
            <w:gridSpan w:val="2"/>
            <w:vAlign w:val="center"/>
          </w:tcPr>
          <w:p>
            <w:pPr>
              <w:adjustRightInd w:val="0"/>
              <w:snapToGrid w:val="0"/>
              <w:rPr>
                <w:rFonts w:hint="eastAsia" w:ascii="宋体" w:hAnsi="宋体"/>
                <w:sz w:val="23"/>
                <w:szCs w:val="23"/>
              </w:rPr>
            </w:pPr>
            <w:r>
              <w:rPr>
                <w:rFonts w:hint="eastAsia" w:ascii="宋体" w:hAnsi="宋体"/>
                <w:b/>
                <w:bCs/>
                <w:color w:val="auto"/>
                <w:sz w:val="23"/>
                <w:szCs w:val="23"/>
                <w:lang w:eastAsia="zh-CN"/>
              </w:rPr>
              <w:t>（</w:t>
            </w:r>
            <w:r>
              <w:rPr>
                <w:rFonts w:hint="eastAsia" w:ascii="宋体" w:hAnsi="宋体"/>
                <w:b/>
                <w:bCs/>
                <w:color w:val="auto"/>
                <w:sz w:val="23"/>
                <w:szCs w:val="23"/>
                <w:lang w:val="en-US" w:eastAsia="zh-CN"/>
              </w:rPr>
              <w:t>二</w:t>
            </w:r>
            <w:r>
              <w:rPr>
                <w:rFonts w:hint="eastAsia" w:ascii="宋体" w:hAnsi="宋体"/>
                <w:b/>
                <w:bCs/>
                <w:color w:val="auto"/>
                <w:sz w:val="23"/>
                <w:szCs w:val="23"/>
                <w:lang w:eastAsia="zh-CN"/>
              </w:rPr>
              <w:t>）</w:t>
            </w:r>
            <w:r>
              <w:rPr>
                <w:rFonts w:hint="eastAsia" w:ascii="宋体" w:hAnsi="宋体"/>
                <w:b/>
                <w:bCs/>
                <w:color w:val="auto"/>
                <w:sz w:val="23"/>
                <w:szCs w:val="23"/>
                <w:lang w:val="en-US" w:eastAsia="zh-CN"/>
              </w:rPr>
              <w:t>符合性审查</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eastAsia" w:ascii="宋体" w:hAnsi="宋体"/>
                <w:sz w:val="23"/>
                <w:szCs w:val="23"/>
              </w:rPr>
            </w:pPr>
            <w:r>
              <w:rPr>
                <w:rFonts w:hint="eastAsia" w:ascii="宋体" w:hAnsi="宋体"/>
                <w:b/>
                <w:color w:val="000000"/>
                <w:sz w:val="24"/>
              </w:rPr>
              <w:t>序号</w:t>
            </w:r>
          </w:p>
        </w:tc>
        <w:tc>
          <w:tcPr>
            <w:tcW w:w="8144" w:type="dxa"/>
            <w:vAlign w:val="center"/>
          </w:tcPr>
          <w:p>
            <w:pPr>
              <w:spacing w:line="0" w:lineRule="atLeast"/>
              <w:jc w:val="center"/>
              <w:rPr>
                <w:rFonts w:hint="eastAsia" w:ascii="宋体" w:hAnsi="宋体"/>
                <w:sz w:val="23"/>
                <w:szCs w:val="23"/>
              </w:rPr>
            </w:pPr>
            <w:r>
              <w:rPr>
                <w:rFonts w:hint="eastAsia" w:ascii="宋体" w:hAnsi="宋体"/>
                <w:b/>
                <w:color w:val="000000"/>
                <w:sz w:val="24"/>
              </w:rPr>
              <w:t>审查内容及标准</w:t>
            </w:r>
          </w:p>
        </w:tc>
        <w:tc>
          <w:tcPr>
            <w:tcW w:w="829" w:type="dxa"/>
            <w:vAlign w:val="center"/>
          </w:tcPr>
          <w:p>
            <w:pPr>
              <w:spacing w:line="0" w:lineRule="atLeast"/>
              <w:jc w:val="center"/>
              <w:rPr>
                <w:rFonts w:ascii="宋体" w:hAnsi="宋体"/>
                <w:sz w:val="23"/>
                <w:szCs w:val="23"/>
              </w:rPr>
            </w:pPr>
            <w:r>
              <w:rPr>
                <w:rFonts w:hint="eastAsia" w:ascii="宋体" w:hAnsi="宋体"/>
                <w:b/>
                <w:color w:val="000000"/>
                <w:sz w:val="24"/>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eastAsia" w:ascii="宋体" w:hAnsi="宋体" w:eastAsia="宋体"/>
                <w:sz w:val="23"/>
                <w:szCs w:val="23"/>
                <w:lang w:val="en-US" w:eastAsia="zh-CN"/>
              </w:rPr>
            </w:pPr>
            <w:r>
              <w:rPr>
                <w:rFonts w:hint="eastAsia" w:ascii="宋体" w:hAnsi="宋体"/>
                <w:sz w:val="23"/>
                <w:szCs w:val="23"/>
                <w:lang w:val="en-US" w:eastAsia="zh-CN"/>
              </w:rPr>
              <w:t>1</w:t>
            </w:r>
          </w:p>
        </w:tc>
        <w:tc>
          <w:tcPr>
            <w:tcW w:w="8144" w:type="dxa"/>
            <w:vAlign w:val="center"/>
          </w:tcPr>
          <w:p>
            <w:pPr>
              <w:adjustRightInd w:val="0"/>
              <w:snapToGrid w:val="0"/>
              <w:rPr>
                <w:rFonts w:hint="eastAsia" w:ascii="宋体" w:hAnsi="宋体"/>
                <w:sz w:val="23"/>
                <w:szCs w:val="23"/>
              </w:rPr>
            </w:pPr>
            <w:r>
              <w:rPr>
                <w:rFonts w:hint="eastAsia" w:ascii="宋体" w:hAnsi="宋体"/>
                <w:sz w:val="23"/>
                <w:szCs w:val="23"/>
              </w:rPr>
              <w:t>★中标人指派专业且有从事过类似工作的技术人员1名以上（含1名）在学校驻点，学校免费提供办公地点(不能用于住宿)，在国家法定工作日（含学校寒暑假）驻点学校，随时对学校的故障设备进行检修，以保证学校的办公需求。</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eastAsia" w:ascii="宋体" w:hAnsi="宋体" w:eastAsia="宋体"/>
                <w:sz w:val="23"/>
                <w:szCs w:val="23"/>
                <w:lang w:val="en-US" w:eastAsia="zh-CN"/>
              </w:rPr>
            </w:pPr>
            <w:r>
              <w:rPr>
                <w:rFonts w:hint="eastAsia" w:ascii="宋体" w:hAnsi="宋体"/>
                <w:sz w:val="23"/>
                <w:szCs w:val="23"/>
                <w:lang w:val="en-US" w:eastAsia="zh-CN"/>
              </w:rPr>
              <w:t>2</w:t>
            </w:r>
          </w:p>
        </w:tc>
        <w:tc>
          <w:tcPr>
            <w:tcW w:w="8144" w:type="dxa"/>
            <w:vAlign w:val="center"/>
          </w:tcPr>
          <w:p>
            <w:pPr>
              <w:adjustRightInd w:val="0"/>
              <w:snapToGrid w:val="0"/>
              <w:rPr>
                <w:rFonts w:hint="eastAsia" w:ascii="宋体" w:hAnsi="宋体"/>
                <w:sz w:val="23"/>
                <w:szCs w:val="23"/>
              </w:rPr>
            </w:pPr>
            <w:r>
              <w:rPr>
                <w:rFonts w:hint="eastAsia" w:cs="Times New Roman" w:asciiTheme="majorEastAsia" w:hAnsiTheme="majorEastAsia" w:eastAsiaTheme="majorEastAsia"/>
                <w:sz w:val="24"/>
                <w:lang w:val="en-US" w:eastAsia="zh-CN"/>
              </w:rPr>
              <w:t>★只有涉及到硬件升级或者其他超出不合理的部分，则需单独付费外，其他均要求是保障设备正常运转的维修及更换硬件等服务项目已包含在本次总预算中，不单独付费。</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680" w:type="dxa"/>
            <w:gridSpan w:val="2"/>
            <w:vAlign w:val="center"/>
          </w:tcPr>
          <w:p>
            <w:pPr>
              <w:snapToGrid w:val="0"/>
              <w:spacing w:before="78" w:beforeLines="25" w:after="78" w:afterLines="25"/>
              <w:jc w:val="right"/>
              <w:rPr>
                <w:rFonts w:ascii="宋体" w:hAnsi="宋体"/>
                <w:sz w:val="23"/>
                <w:szCs w:val="23"/>
              </w:rPr>
            </w:pPr>
            <w:r>
              <w:rPr>
                <w:rFonts w:hint="eastAsia" w:ascii="宋体" w:hAnsi="宋体"/>
                <w:sz w:val="23"/>
                <w:szCs w:val="23"/>
              </w:rPr>
              <w:t>结论</w:t>
            </w:r>
          </w:p>
        </w:tc>
        <w:tc>
          <w:tcPr>
            <w:tcW w:w="829" w:type="dxa"/>
            <w:vAlign w:val="center"/>
          </w:tcPr>
          <w:p>
            <w:pPr>
              <w:spacing w:line="360" w:lineRule="auto"/>
              <w:rPr>
                <w:rFonts w:ascii="宋体" w:hAnsi="宋体"/>
                <w:sz w:val="23"/>
                <w:szCs w:val="23"/>
              </w:rPr>
            </w:pPr>
          </w:p>
        </w:tc>
      </w:tr>
    </w:tbl>
    <w:p>
      <w:pPr>
        <w:snapToGrid w:val="0"/>
        <w:rPr>
          <w:rFonts w:ascii="宋体" w:hAnsi="宋体"/>
          <w:sz w:val="23"/>
          <w:szCs w:val="23"/>
        </w:rPr>
      </w:pPr>
      <w:r>
        <w:rPr>
          <w:rFonts w:hint="eastAsia" w:ascii="宋体" w:hAnsi="宋体"/>
          <w:sz w:val="23"/>
          <w:szCs w:val="23"/>
        </w:rPr>
        <w:t>备注：</w:t>
      </w:r>
    </w:p>
    <w:p>
      <w:pPr>
        <w:snapToGrid w:val="0"/>
        <w:ind w:firstLine="450" w:firstLineChars="196"/>
        <w:rPr>
          <w:rFonts w:ascii="宋体" w:hAnsi="宋体"/>
          <w:color w:val="000000"/>
          <w:sz w:val="23"/>
          <w:szCs w:val="23"/>
        </w:rPr>
      </w:pPr>
      <w:r>
        <w:rPr>
          <w:rFonts w:hint="eastAsia" w:ascii="宋体" w:hAnsi="宋体"/>
          <w:color w:val="000000"/>
          <w:sz w:val="23"/>
          <w:szCs w:val="23"/>
        </w:rPr>
        <w:t>1.本表与招标文件中相关评标条款内容不一致的，以本表内容为准。</w:t>
      </w:r>
    </w:p>
    <w:p>
      <w:pPr>
        <w:snapToGrid w:val="0"/>
        <w:ind w:firstLine="450" w:firstLineChars="196"/>
        <w:rPr>
          <w:rFonts w:ascii="宋体" w:hAnsi="宋体"/>
          <w:color w:val="000000"/>
          <w:sz w:val="23"/>
          <w:szCs w:val="23"/>
        </w:rPr>
      </w:pPr>
      <w:r>
        <w:rPr>
          <w:rFonts w:hint="eastAsia" w:ascii="宋体" w:hAnsi="宋体"/>
          <w:color w:val="000000"/>
          <w:sz w:val="23"/>
          <w:szCs w:val="23"/>
        </w:rPr>
        <w:t>2.每一项符合的打“〇”，不符合的打“×”。打“×”的，请说明理由。</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3.“结论”一栏填写“通过”、“不通过”；任何一项出现“×”的，结论均为不通过；不通过的，为无效投标。</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4. 如“结论”意见不统一时，由评标委员会成员投票表决，采用少数服从多数的原则，如有投票表决，应说明表决过程及结果。</w:t>
      </w:r>
    </w:p>
    <w:p>
      <w:pPr>
        <w:rPr>
          <w:b/>
          <w:bCs/>
          <w:sz w:val="28"/>
          <w:szCs w:val="28"/>
        </w:rPr>
      </w:pPr>
    </w:p>
    <w:p>
      <w:pPr>
        <w:rPr>
          <w:b/>
          <w:bCs/>
          <w:sz w:val="28"/>
          <w:szCs w:val="28"/>
        </w:rPr>
      </w:pPr>
    </w:p>
    <w:p>
      <w:pPr>
        <w:rPr>
          <w:b/>
          <w:bCs/>
          <w:sz w:val="28"/>
          <w:szCs w:val="28"/>
        </w:rPr>
      </w:pPr>
      <w:r>
        <w:rPr>
          <w:rFonts w:hint="eastAsia"/>
          <w:b/>
          <w:bCs/>
          <w:sz w:val="28"/>
          <w:szCs w:val="28"/>
        </w:rPr>
        <w:t>附表二：</w:t>
      </w:r>
    </w:p>
    <w:p>
      <w:pPr>
        <w:jc w:val="center"/>
        <w:rPr>
          <w:b/>
          <w:bCs/>
          <w:sz w:val="28"/>
          <w:szCs w:val="28"/>
        </w:rPr>
      </w:pPr>
      <w:r>
        <w:rPr>
          <w:rFonts w:hint="eastAsia"/>
          <w:b/>
          <w:bCs/>
          <w:sz w:val="28"/>
          <w:szCs w:val="28"/>
        </w:rPr>
        <w:t>权重分配表</w:t>
      </w:r>
    </w:p>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2224"/>
        <w:gridCol w:w="2225"/>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24" w:type="dxa"/>
            <w:shd w:val="clear" w:color="auto" w:fill="9BBB59" w:themeFill="accent3"/>
          </w:tcPr>
          <w:p>
            <w:pPr>
              <w:jc w:val="center"/>
              <w:rPr>
                <w:rFonts w:ascii="宋体" w:hAnsi="宋体"/>
                <w:b/>
                <w:bCs/>
                <w:color w:val="000000"/>
                <w:sz w:val="23"/>
                <w:szCs w:val="23"/>
              </w:rPr>
            </w:pPr>
          </w:p>
          <w:p>
            <w:pPr>
              <w:jc w:val="center"/>
              <w:rPr>
                <w:rFonts w:ascii="宋体" w:hAnsi="宋体"/>
                <w:b/>
                <w:bCs/>
                <w:color w:val="000000"/>
                <w:sz w:val="23"/>
                <w:szCs w:val="23"/>
              </w:rPr>
            </w:pPr>
            <w:r>
              <w:rPr>
                <w:rFonts w:hint="eastAsia" w:ascii="宋体" w:hAnsi="宋体"/>
                <w:b/>
                <w:bCs/>
                <w:color w:val="000000"/>
                <w:sz w:val="23"/>
                <w:szCs w:val="23"/>
              </w:rPr>
              <w:t>评分项目</w:t>
            </w:r>
          </w:p>
          <w:p>
            <w:pPr>
              <w:jc w:val="center"/>
              <w:rPr>
                <w:rFonts w:ascii="宋体" w:hAnsi="宋体"/>
                <w:b/>
                <w:bCs/>
                <w:color w:val="000000"/>
                <w:sz w:val="23"/>
                <w:szCs w:val="23"/>
              </w:rPr>
            </w:pPr>
          </w:p>
        </w:tc>
        <w:tc>
          <w:tcPr>
            <w:tcW w:w="2224" w:type="dxa"/>
            <w:shd w:val="clear" w:color="auto" w:fill="9BBB59" w:themeFill="accent3"/>
          </w:tcPr>
          <w:p>
            <w:pPr>
              <w:jc w:val="center"/>
              <w:rPr>
                <w:rFonts w:ascii="宋体" w:hAnsi="宋体"/>
                <w:b/>
                <w:bCs/>
                <w:color w:val="000000"/>
                <w:sz w:val="23"/>
                <w:szCs w:val="23"/>
              </w:rPr>
            </w:pPr>
          </w:p>
          <w:p>
            <w:pPr>
              <w:jc w:val="center"/>
              <w:rPr>
                <w:rFonts w:ascii="宋体" w:hAnsi="宋体"/>
                <w:b/>
                <w:bCs/>
                <w:color w:val="000000"/>
                <w:sz w:val="23"/>
                <w:szCs w:val="23"/>
              </w:rPr>
            </w:pPr>
            <w:r>
              <w:rPr>
                <w:rFonts w:hint="eastAsia" w:ascii="宋体" w:hAnsi="宋体"/>
                <w:b/>
                <w:bCs/>
                <w:color w:val="000000"/>
                <w:sz w:val="23"/>
                <w:szCs w:val="23"/>
              </w:rPr>
              <w:t>商务评分</w:t>
            </w:r>
          </w:p>
        </w:tc>
        <w:tc>
          <w:tcPr>
            <w:tcW w:w="2225" w:type="dxa"/>
            <w:shd w:val="clear" w:color="auto" w:fill="9BBB59" w:themeFill="accent3"/>
          </w:tcPr>
          <w:p>
            <w:pPr>
              <w:jc w:val="center"/>
              <w:rPr>
                <w:rFonts w:ascii="宋体" w:hAnsi="宋体"/>
                <w:b/>
                <w:bCs/>
                <w:color w:val="000000"/>
                <w:sz w:val="23"/>
                <w:szCs w:val="23"/>
              </w:rPr>
            </w:pPr>
          </w:p>
          <w:p>
            <w:pPr>
              <w:jc w:val="center"/>
              <w:rPr>
                <w:rFonts w:ascii="宋体" w:hAnsi="宋体"/>
                <w:b/>
                <w:bCs/>
                <w:color w:val="000000"/>
                <w:sz w:val="23"/>
                <w:szCs w:val="23"/>
              </w:rPr>
            </w:pPr>
            <w:r>
              <w:rPr>
                <w:rFonts w:hint="eastAsia" w:ascii="宋体" w:hAnsi="宋体"/>
                <w:b/>
                <w:bCs/>
                <w:color w:val="000000"/>
                <w:sz w:val="23"/>
                <w:szCs w:val="23"/>
              </w:rPr>
              <w:t>技术评分</w:t>
            </w:r>
          </w:p>
        </w:tc>
        <w:tc>
          <w:tcPr>
            <w:tcW w:w="2225" w:type="dxa"/>
            <w:shd w:val="clear" w:color="auto" w:fill="9BBB59" w:themeFill="accent3"/>
          </w:tcPr>
          <w:p>
            <w:pPr>
              <w:jc w:val="center"/>
              <w:rPr>
                <w:rFonts w:ascii="宋体" w:hAnsi="宋体"/>
                <w:b/>
                <w:bCs/>
                <w:color w:val="000000"/>
                <w:sz w:val="23"/>
                <w:szCs w:val="23"/>
              </w:rPr>
            </w:pPr>
          </w:p>
          <w:p>
            <w:pPr>
              <w:jc w:val="center"/>
              <w:rPr>
                <w:rFonts w:ascii="宋体" w:hAnsi="宋体"/>
                <w:b/>
                <w:bCs/>
                <w:color w:val="000000"/>
                <w:sz w:val="23"/>
                <w:szCs w:val="23"/>
              </w:rPr>
            </w:pPr>
            <w:r>
              <w:rPr>
                <w:rFonts w:hint="eastAsia" w:ascii="宋体" w:hAnsi="宋体"/>
                <w:b/>
                <w:bCs/>
                <w:color w:val="000000"/>
                <w:sz w:val="23"/>
                <w:szCs w:val="23"/>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ascii="宋体" w:hAnsi="宋体" w:cs="宋体"/>
                <w:sz w:val="24"/>
              </w:rPr>
            </w:pPr>
          </w:p>
          <w:p>
            <w:pPr>
              <w:pStyle w:val="53"/>
              <w:ind w:firstLine="480"/>
              <w:jc w:val="center"/>
              <w:rPr>
                <w:rFonts w:ascii="宋体" w:hAnsi="宋体" w:cs="宋体"/>
                <w:sz w:val="24"/>
              </w:rPr>
            </w:pPr>
            <w:r>
              <w:rPr>
                <w:rFonts w:hint="eastAsia" w:ascii="宋体" w:hAnsi="宋体" w:cs="宋体"/>
                <w:sz w:val="24"/>
              </w:rPr>
              <w:t>权重（%）</w:t>
            </w:r>
          </w:p>
          <w:p>
            <w:pPr>
              <w:pStyle w:val="53"/>
              <w:ind w:firstLine="480"/>
              <w:jc w:val="center"/>
              <w:rPr>
                <w:rFonts w:ascii="宋体" w:hAnsi="宋体" w:cs="宋体"/>
                <w:sz w:val="24"/>
              </w:rPr>
            </w:pPr>
          </w:p>
        </w:tc>
        <w:tc>
          <w:tcPr>
            <w:tcW w:w="2224" w:type="dxa"/>
            <w:vAlign w:val="center"/>
          </w:tcPr>
          <w:p>
            <w:pPr>
              <w:jc w:val="center"/>
              <w:rPr>
                <w:rFonts w:hint="eastAsia" w:ascii="宋体" w:hAnsi="宋体" w:eastAsia="宋体" w:cs="宋体"/>
                <w:sz w:val="24"/>
                <w:lang w:val="en-US" w:eastAsia="zh-CN"/>
              </w:rPr>
            </w:pPr>
            <w:r>
              <w:rPr>
                <w:rFonts w:hint="eastAsia" w:ascii="宋体" w:hAnsi="宋体" w:cs="宋体"/>
                <w:sz w:val="24"/>
              </w:rPr>
              <w:t>4</w:t>
            </w:r>
            <w:r>
              <w:rPr>
                <w:rFonts w:hint="eastAsia" w:ascii="宋体" w:hAnsi="宋体" w:cs="宋体"/>
                <w:sz w:val="24"/>
                <w:lang w:val="en-US" w:eastAsia="zh-CN"/>
              </w:rPr>
              <w:t>0</w:t>
            </w:r>
          </w:p>
        </w:tc>
        <w:tc>
          <w:tcPr>
            <w:tcW w:w="2225"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40</w:t>
            </w:r>
          </w:p>
        </w:tc>
        <w:tc>
          <w:tcPr>
            <w:tcW w:w="2225" w:type="dxa"/>
            <w:vAlign w:val="center"/>
          </w:tcPr>
          <w:p>
            <w:pPr>
              <w:jc w:val="center"/>
              <w:rPr>
                <w:rFonts w:ascii="宋体" w:hAnsi="宋体" w:cs="宋体"/>
                <w:sz w:val="24"/>
              </w:rPr>
            </w:pPr>
            <w:r>
              <w:rPr>
                <w:rFonts w:hint="eastAsia" w:ascii="宋体" w:hAnsi="宋体" w:cs="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ascii="宋体" w:hAnsi="宋体" w:cs="宋体"/>
                <w:sz w:val="24"/>
              </w:rPr>
            </w:pPr>
          </w:p>
          <w:p>
            <w:pPr>
              <w:jc w:val="center"/>
              <w:rPr>
                <w:rFonts w:ascii="宋体" w:hAnsi="宋体" w:cs="宋体"/>
                <w:sz w:val="24"/>
              </w:rPr>
            </w:pPr>
            <w:r>
              <w:rPr>
                <w:rFonts w:hint="eastAsia" w:ascii="宋体" w:hAnsi="宋体" w:cs="宋体"/>
                <w:sz w:val="24"/>
              </w:rPr>
              <w:t>分值</w:t>
            </w:r>
          </w:p>
          <w:p>
            <w:pPr>
              <w:jc w:val="center"/>
              <w:rPr>
                <w:rFonts w:ascii="宋体" w:hAnsi="宋体" w:cs="宋体"/>
                <w:sz w:val="24"/>
              </w:rPr>
            </w:pPr>
          </w:p>
        </w:tc>
        <w:tc>
          <w:tcPr>
            <w:tcW w:w="2224" w:type="dxa"/>
            <w:vAlign w:val="center"/>
          </w:tcPr>
          <w:p>
            <w:pPr>
              <w:jc w:val="center"/>
              <w:rPr>
                <w:rFonts w:hint="eastAsia" w:ascii="宋体" w:hAnsi="宋体" w:eastAsia="宋体" w:cs="宋体"/>
                <w:sz w:val="24"/>
                <w:lang w:val="en-US" w:eastAsia="zh-CN"/>
              </w:rPr>
            </w:pPr>
            <w:r>
              <w:rPr>
                <w:rFonts w:hint="eastAsia" w:ascii="宋体" w:hAnsi="宋体" w:cs="宋体"/>
                <w:sz w:val="24"/>
              </w:rPr>
              <w:t>4</w:t>
            </w:r>
            <w:r>
              <w:rPr>
                <w:rFonts w:hint="eastAsia" w:ascii="宋体" w:hAnsi="宋体" w:cs="宋体"/>
                <w:sz w:val="24"/>
                <w:lang w:val="en-US" w:eastAsia="zh-CN"/>
              </w:rPr>
              <w:t>0</w:t>
            </w:r>
          </w:p>
        </w:tc>
        <w:tc>
          <w:tcPr>
            <w:tcW w:w="2225"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40</w:t>
            </w:r>
          </w:p>
        </w:tc>
        <w:tc>
          <w:tcPr>
            <w:tcW w:w="2225" w:type="dxa"/>
            <w:vAlign w:val="center"/>
          </w:tcPr>
          <w:p>
            <w:pPr>
              <w:jc w:val="center"/>
              <w:rPr>
                <w:rFonts w:ascii="宋体" w:hAnsi="宋体" w:cs="宋体"/>
                <w:sz w:val="24"/>
              </w:rPr>
            </w:pPr>
            <w:r>
              <w:rPr>
                <w:rFonts w:hint="eastAsia" w:ascii="宋体" w:hAnsi="宋体" w:cs="宋体"/>
                <w:sz w:val="24"/>
              </w:rPr>
              <w:t>20</w:t>
            </w:r>
          </w:p>
        </w:tc>
      </w:tr>
    </w:tbl>
    <w:p/>
    <w:p>
      <w:pPr>
        <w:pStyle w:val="53"/>
        <w:rPr>
          <w:rFonts w:ascii="宋体" w:hAnsi="宋体" w:cs="宋体"/>
          <w:sz w:val="21"/>
          <w:szCs w:val="21"/>
        </w:rPr>
      </w:pPr>
      <w:r>
        <w:rPr>
          <w:rFonts w:hint="eastAsia" w:ascii="宋体" w:hAnsi="宋体" w:cs="宋体"/>
          <w:sz w:val="21"/>
          <w:szCs w:val="21"/>
        </w:rPr>
        <w:t>注：满分为100分，即三项得分之和权重为100%。</w:t>
      </w:r>
    </w:p>
    <w:p>
      <w:pPr>
        <w:snapToGrid w:val="0"/>
        <w:rPr>
          <w:rFonts w:ascii="宋体" w:hAnsi="Arial"/>
          <w:b/>
          <w:color w:val="000000"/>
          <w:sz w:val="28"/>
          <w:szCs w:val="28"/>
        </w:rPr>
      </w:pPr>
    </w:p>
    <w:p>
      <w:pPr>
        <w:snapToGrid w:val="0"/>
        <w:rPr>
          <w:rFonts w:ascii="宋体" w:hAnsi="Arial"/>
          <w:b/>
          <w:color w:val="000000"/>
          <w:sz w:val="28"/>
          <w:szCs w:val="28"/>
        </w:rPr>
      </w:pPr>
    </w:p>
    <w:p>
      <w:pPr>
        <w:snapToGrid w:val="0"/>
        <w:rPr>
          <w:rFonts w:ascii="宋体" w:hAnsi="Arial"/>
          <w:b/>
          <w:color w:val="000000"/>
          <w:sz w:val="28"/>
          <w:szCs w:val="28"/>
        </w:rPr>
      </w:pPr>
    </w:p>
    <w:p>
      <w:pPr>
        <w:snapToGrid w:val="0"/>
        <w:rPr>
          <w:rFonts w:ascii="宋体" w:hAnsi="Arial"/>
          <w:b/>
          <w:color w:val="000000"/>
          <w:sz w:val="28"/>
          <w:szCs w:val="28"/>
        </w:rPr>
      </w:pPr>
    </w:p>
    <w:p>
      <w:pPr>
        <w:snapToGrid w:val="0"/>
        <w:rPr>
          <w:rFonts w:ascii="宋体" w:hAnsi="Arial"/>
          <w:b/>
          <w:color w:val="000000"/>
          <w:sz w:val="28"/>
          <w:szCs w:val="28"/>
        </w:rPr>
      </w:pPr>
    </w:p>
    <w:p>
      <w:pPr>
        <w:snapToGrid w:val="0"/>
        <w:rPr>
          <w:rFonts w:ascii="宋体" w:hAnsi="Arial"/>
          <w:b/>
          <w:color w:val="000000"/>
          <w:sz w:val="28"/>
          <w:szCs w:val="28"/>
        </w:rPr>
      </w:pPr>
    </w:p>
    <w:p>
      <w:pPr>
        <w:snapToGrid w:val="0"/>
        <w:rPr>
          <w:rFonts w:ascii="宋体" w:hAnsi="Arial"/>
          <w:b/>
          <w:color w:val="000000"/>
          <w:sz w:val="28"/>
          <w:szCs w:val="28"/>
        </w:rPr>
      </w:pPr>
    </w:p>
    <w:p>
      <w:pPr>
        <w:snapToGrid w:val="0"/>
        <w:rPr>
          <w:rFonts w:ascii="宋体" w:hAnsi="Arial"/>
          <w:b/>
          <w:color w:val="000000"/>
          <w:sz w:val="28"/>
          <w:szCs w:val="28"/>
        </w:rPr>
      </w:pPr>
    </w:p>
    <w:p>
      <w:pPr>
        <w:snapToGrid w:val="0"/>
        <w:rPr>
          <w:rFonts w:ascii="宋体" w:hAnsi="Arial"/>
          <w:b/>
          <w:color w:val="000000"/>
          <w:sz w:val="28"/>
          <w:szCs w:val="28"/>
        </w:rPr>
      </w:pPr>
    </w:p>
    <w:p>
      <w:pPr>
        <w:snapToGrid w:val="0"/>
        <w:rPr>
          <w:rFonts w:ascii="宋体" w:hAnsi="Arial"/>
          <w:b/>
          <w:color w:val="000000"/>
          <w:sz w:val="28"/>
          <w:szCs w:val="28"/>
        </w:rPr>
      </w:pPr>
    </w:p>
    <w:p>
      <w:pPr>
        <w:pStyle w:val="53"/>
        <w:ind w:firstLine="562"/>
        <w:rPr>
          <w:rFonts w:ascii="宋体" w:hAnsi="Arial"/>
          <w:b/>
          <w:color w:val="000000"/>
          <w:sz w:val="28"/>
          <w:szCs w:val="28"/>
        </w:rPr>
      </w:pPr>
    </w:p>
    <w:p>
      <w:pPr>
        <w:pStyle w:val="53"/>
        <w:ind w:firstLine="562"/>
        <w:rPr>
          <w:rFonts w:ascii="宋体" w:hAnsi="Arial"/>
          <w:b/>
          <w:color w:val="000000"/>
          <w:sz w:val="28"/>
          <w:szCs w:val="28"/>
        </w:rPr>
      </w:pPr>
    </w:p>
    <w:p>
      <w:pPr>
        <w:pStyle w:val="53"/>
        <w:ind w:firstLine="562"/>
        <w:rPr>
          <w:rFonts w:ascii="宋体" w:hAnsi="Arial"/>
          <w:b/>
          <w:color w:val="000000"/>
          <w:sz w:val="28"/>
          <w:szCs w:val="28"/>
        </w:rPr>
      </w:pPr>
    </w:p>
    <w:p>
      <w:pPr>
        <w:pStyle w:val="53"/>
        <w:ind w:firstLine="562"/>
        <w:rPr>
          <w:rFonts w:ascii="宋体" w:hAnsi="Arial"/>
          <w:b/>
          <w:color w:val="000000"/>
          <w:sz w:val="28"/>
          <w:szCs w:val="28"/>
        </w:rPr>
      </w:pPr>
    </w:p>
    <w:p>
      <w:pPr>
        <w:pStyle w:val="53"/>
        <w:ind w:firstLine="562"/>
        <w:rPr>
          <w:rFonts w:ascii="宋体" w:hAnsi="Arial"/>
          <w:b/>
          <w:color w:val="000000"/>
          <w:sz w:val="28"/>
          <w:szCs w:val="28"/>
        </w:rPr>
      </w:pPr>
    </w:p>
    <w:p>
      <w:pPr>
        <w:pStyle w:val="53"/>
        <w:ind w:firstLine="562"/>
        <w:rPr>
          <w:rFonts w:ascii="宋体" w:hAnsi="Arial"/>
          <w:b/>
          <w:color w:val="000000"/>
          <w:sz w:val="28"/>
          <w:szCs w:val="28"/>
        </w:rPr>
      </w:pPr>
    </w:p>
    <w:p>
      <w:pPr>
        <w:pStyle w:val="53"/>
        <w:ind w:firstLine="562"/>
        <w:rPr>
          <w:rFonts w:ascii="宋体" w:hAnsi="Arial"/>
          <w:b/>
          <w:color w:val="000000"/>
          <w:sz w:val="28"/>
          <w:szCs w:val="28"/>
        </w:rPr>
      </w:pPr>
    </w:p>
    <w:p>
      <w:pPr>
        <w:pStyle w:val="53"/>
        <w:ind w:firstLine="562"/>
        <w:rPr>
          <w:rFonts w:ascii="宋体" w:hAnsi="Arial"/>
          <w:b/>
          <w:color w:val="000000"/>
          <w:sz w:val="28"/>
          <w:szCs w:val="28"/>
        </w:rPr>
      </w:pPr>
    </w:p>
    <w:p>
      <w:pPr>
        <w:snapToGrid w:val="0"/>
        <w:rPr>
          <w:rFonts w:ascii="宋体" w:hAnsi="Arial"/>
          <w:b/>
          <w:color w:val="000000"/>
          <w:sz w:val="28"/>
          <w:szCs w:val="28"/>
        </w:rPr>
      </w:pPr>
      <w:r>
        <w:rPr>
          <w:rFonts w:hint="eastAsia" w:ascii="宋体" w:hAnsi="Arial"/>
          <w:b/>
          <w:color w:val="000000"/>
          <w:sz w:val="28"/>
          <w:szCs w:val="28"/>
        </w:rPr>
        <w:t>附表三：</w:t>
      </w:r>
    </w:p>
    <w:p>
      <w:pPr>
        <w:snapToGrid w:val="0"/>
        <w:jc w:val="center"/>
        <w:rPr>
          <w:rFonts w:ascii="宋体" w:hAnsi="Arial"/>
          <w:b/>
          <w:color w:val="000000"/>
          <w:sz w:val="28"/>
          <w:szCs w:val="28"/>
        </w:rPr>
      </w:pPr>
    </w:p>
    <w:p>
      <w:pPr>
        <w:pStyle w:val="53"/>
        <w:ind w:firstLine="400"/>
      </w:pPr>
    </w:p>
    <w:p>
      <w:pPr>
        <w:snapToGrid w:val="0"/>
        <w:jc w:val="center"/>
        <w:rPr>
          <w:rFonts w:ascii="宋体" w:hAnsi="Arial"/>
          <w:b/>
          <w:color w:val="000000"/>
          <w:sz w:val="28"/>
          <w:szCs w:val="28"/>
        </w:rPr>
      </w:pPr>
      <w:r>
        <w:rPr>
          <w:rFonts w:hint="eastAsia" w:ascii="宋体" w:hAnsi="Arial"/>
          <w:b/>
          <w:color w:val="000000"/>
          <w:sz w:val="28"/>
          <w:szCs w:val="28"/>
        </w:rPr>
        <w:t>价格评分表</w:t>
      </w:r>
    </w:p>
    <w:p>
      <w:pPr>
        <w:snapToGrid w:val="0"/>
        <w:jc w:val="center"/>
        <w:rPr>
          <w:rFonts w:ascii="宋体" w:hAnsi="Arial"/>
          <w:b/>
          <w:color w:val="000000"/>
          <w:sz w:val="28"/>
          <w:szCs w:val="28"/>
        </w:rPr>
      </w:pPr>
    </w:p>
    <w:tbl>
      <w:tblPr>
        <w:tblStyle w:val="43"/>
        <w:tblW w:w="87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769"/>
        <w:gridCol w:w="99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0" w:hRule="atLeast"/>
          <w:jc w:val="center"/>
        </w:trPr>
        <w:tc>
          <w:tcPr>
            <w:tcW w:w="7769" w:type="dxa"/>
            <w:shd w:val="clear" w:color="auto" w:fill="C0C0C0"/>
            <w:vAlign w:val="center"/>
          </w:tcPr>
          <w:p>
            <w:pPr>
              <w:spacing w:line="0" w:lineRule="atLeast"/>
              <w:jc w:val="center"/>
              <w:rPr>
                <w:rFonts w:ascii="宋体" w:hAnsi="宋体"/>
                <w:b/>
                <w:color w:val="000000"/>
                <w:sz w:val="24"/>
              </w:rPr>
            </w:pPr>
            <w:r>
              <w:rPr>
                <w:rFonts w:hint="eastAsia" w:ascii="宋体" w:hAnsi="宋体"/>
                <w:b/>
                <w:color w:val="000000"/>
                <w:sz w:val="24"/>
              </w:rPr>
              <w:t>评分标准</w:t>
            </w:r>
          </w:p>
        </w:tc>
        <w:tc>
          <w:tcPr>
            <w:tcW w:w="998" w:type="dxa"/>
            <w:shd w:val="clear" w:color="auto" w:fill="C0C0C0"/>
            <w:vAlign w:val="center"/>
          </w:tcPr>
          <w:p>
            <w:pPr>
              <w:spacing w:line="0" w:lineRule="atLeast"/>
              <w:jc w:val="center"/>
              <w:rPr>
                <w:rFonts w:ascii="宋体" w:hAnsi="宋体"/>
                <w:b/>
                <w:bCs/>
                <w:color w:val="000000"/>
                <w:sz w:val="24"/>
              </w:rPr>
            </w:pPr>
            <w:r>
              <w:rPr>
                <w:rFonts w:hint="eastAsia" w:ascii="宋体" w:hAnsi="宋体"/>
                <w:b/>
                <w:bCs/>
                <w:color w:val="000000"/>
                <w:sz w:val="24"/>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6" w:hRule="atLeast"/>
          <w:jc w:val="center"/>
        </w:trPr>
        <w:tc>
          <w:tcPr>
            <w:tcW w:w="7769" w:type="dxa"/>
            <w:vAlign w:val="center"/>
          </w:tcPr>
          <w:p>
            <w:pPr>
              <w:pStyle w:val="19"/>
              <w:spacing w:line="300" w:lineRule="auto"/>
              <w:ind w:firstLine="0"/>
              <w:rPr>
                <w:color w:val="000000"/>
              </w:rPr>
            </w:pPr>
            <w:r>
              <w:rPr>
                <w:rFonts w:hint="eastAsia"/>
                <w:color w:val="000000"/>
              </w:rPr>
              <w:t>1、价格评审满分为20分，为客观计算得分。</w:t>
            </w:r>
          </w:p>
          <w:p>
            <w:pPr>
              <w:pStyle w:val="19"/>
              <w:spacing w:line="300" w:lineRule="auto"/>
              <w:ind w:firstLine="0"/>
              <w:rPr>
                <w:color w:val="000000"/>
              </w:rPr>
            </w:pPr>
            <w:r>
              <w:rPr>
                <w:rFonts w:hint="eastAsia"/>
                <w:color w:val="000000"/>
              </w:rPr>
              <w:t>2、以所有通过资格性审查的投标人的投标总价作为评审的依据，投标人价格得分评分方法如下：</w:t>
            </w:r>
          </w:p>
          <w:p>
            <w:pPr>
              <w:pStyle w:val="19"/>
              <w:spacing w:line="300" w:lineRule="auto"/>
              <w:ind w:firstLine="540" w:firstLineChars="225"/>
              <w:rPr>
                <w:color w:val="000000"/>
              </w:rPr>
            </w:pPr>
            <w:r>
              <w:rPr>
                <w:rFonts w:hint="eastAsia"/>
                <w:color w:val="000000"/>
              </w:rPr>
              <w:t>评标基准价＝实质性</w:t>
            </w:r>
            <w:r>
              <w:rPr>
                <w:rFonts w:cs="宋体"/>
                <w:color w:val="000000"/>
              </w:rPr>
              <w:t>满足招标文件要求且投标价格最低的投标</w:t>
            </w:r>
            <w:r>
              <w:rPr>
                <w:rFonts w:hint="eastAsia" w:cs="宋体"/>
                <w:color w:val="000000"/>
              </w:rPr>
              <w:t>总</w:t>
            </w:r>
            <w:r>
              <w:rPr>
                <w:rFonts w:cs="宋体"/>
                <w:color w:val="000000"/>
              </w:rPr>
              <w:t>价</w:t>
            </w:r>
            <w:r>
              <w:rPr>
                <w:rFonts w:hint="eastAsia" w:cs="宋体"/>
                <w:color w:val="000000"/>
              </w:rPr>
              <w:t>；</w:t>
            </w:r>
          </w:p>
          <w:p>
            <w:pPr>
              <w:ind w:firstLine="482" w:firstLineChars="200"/>
              <w:jc w:val="center"/>
              <w:rPr>
                <w:rFonts w:ascii="宋体" w:hAnsi="宋体"/>
                <w:b/>
                <w:color w:val="000000"/>
                <w:sz w:val="24"/>
              </w:rPr>
            </w:pPr>
            <w:r>
              <w:rPr>
                <w:rFonts w:hint="eastAsia" w:ascii="宋体" w:hAnsi="宋体"/>
                <w:b/>
                <w:color w:val="000000"/>
                <w:sz w:val="24"/>
              </w:rPr>
              <w:t>投标人价格得分＝</w:t>
            </w:r>
            <w:r>
              <w:rPr>
                <w:rFonts w:ascii="宋体" w:hAnsi="宋体"/>
                <w:b/>
                <w:color w:val="000000"/>
                <w:sz w:val="24"/>
              </w:rPr>
              <w:fldChar w:fldCharType="begin"/>
            </w:r>
            <w:r>
              <w:rPr>
                <w:rFonts w:ascii="宋体" w:hAnsi="宋体"/>
                <w:b/>
                <w:color w:val="000000"/>
                <w:sz w:val="24"/>
              </w:rPr>
              <w:instrText xml:space="preserve"> EQ \F(</w:instrText>
            </w:r>
            <w:r>
              <w:rPr>
                <w:rFonts w:hint="eastAsia" w:ascii="宋体" w:hAnsi="宋体"/>
                <w:b/>
                <w:color w:val="000000"/>
                <w:sz w:val="24"/>
              </w:rPr>
              <w:instrText xml:space="preserve">评标基准价</w:instrText>
            </w:r>
            <w:r>
              <w:rPr>
                <w:rFonts w:ascii="宋体" w:hAnsi="宋体"/>
                <w:b/>
                <w:color w:val="000000"/>
                <w:sz w:val="24"/>
              </w:rPr>
              <w:instrText xml:space="preserve">,</w:instrText>
            </w:r>
            <w:r>
              <w:rPr>
                <w:rFonts w:hint="eastAsia" w:ascii="宋体" w:hAnsi="宋体"/>
                <w:b/>
                <w:color w:val="000000"/>
                <w:sz w:val="24"/>
              </w:rPr>
              <w:instrText xml:space="preserve">投标总价</w:instrText>
            </w:r>
            <w:r>
              <w:rPr>
                <w:rFonts w:ascii="宋体" w:hAnsi="宋体"/>
                <w:b/>
                <w:color w:val="000000"/>
                <w:sz w:val="24"/>
              </w:rPr>
              <w:instrText xml:space="preserve">)</w:instrText>
            </w:r>
            <w:r>
              <w:rPr>
                <w:rFonts w:ascii="宋体" w:hAnsi="宋体"/>
                <w:b/>
                <w:color w:val="000000"/>
                <w:sz w:val="24"/>
              </w:rPr>
              <w:fldChar w:fldCharType="end"/>
            </w:r>
            <w:r>
              <w:rPr>
                <w:rFonts w:hint="eastAsia" w:ascii="宋体" w:hAnsi="宋体"/>
                <w:b/>
                <w:color w:val="000000"/>
                <w:sz w:val="24"/>
              </w:rPr>
              <w:t>×20。</w:t>
            </w:r>
          </w:p>
        </w:tc>
        <w:tc>
          <w:tcPr>
            <w:tcW w:w="998" w:type="dxa"/>
            <w:vAlign w:val="center"/>
          </w:tcPr>
          <w:p>
            <w:pPr>
              <w:jc w:val="center"/>
              <w:rPr>
                <w:rFonts w:ascii="宋体" w:hAnsi="宋体"/>
                <w:color w:val="000000"/>
                <w:sz w:val="24"/>
              </w:rPr>
            </w:pPr>
            <w:r>
              <w:rPr>
                <w:rFonts w:hint="eastAsia" w:ascii="宋体" w:hAnsi="宋体"/>
                <w:color w:val="000000"/>
                <w:sz w:val="24"/>
              </w:rPr>
              <w:t>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7769" w:type="dxa"/>
            <w:vAlign w:val="center"/>
          </w:tcPr>
          <w:p>
            <w:pPr>
              <w:spacing w:line="400" w:lineRule="exact"/>
              <w:jc w:val="center"/>
              <w:rPr>
                <w:rFonts w:ascii="宋体" w:hAnsi="宋体"/>
                <w:color w:val="000000"/>
                <w:szCs w:val="21"/>
              </w:rPr>
            </w:pPr>
            <w:r>
              <w:rPr>
                <w:rFonts w:hint="eastAsia" w:ascii="宋体" w:hAnsi="宋体" w:cs="宋体"/>
                <w:b/>
                <w:color w:val="000000"/>
                <w:sz w:val="24"/>
                <w:lang w:val="zh-CN"/>
              </w:rPr>
              <w:t>合计</w:t>
            </w:r>
          </w:p>
        </w:tc>
        <w:tc>
          <w:tcPr>
            <w:tcW w:w="998" w:type="dxa"/>
            <w:vAlign w:val="center"/>
          </w:tcPr>
          <w:p>
            <w:pPr>
              <w:spacing w:line="400" w:lineRule="exact"/>
              <w:jc w:val="center"/>
              <w:rPr>
                <w:rFonts w:ascii="宋体" w:hAnsi="宋体"/>
                <w:b/>
                <w:color w:val="000000"/>
                <w:sz w:val="24"/>
              </w:rPr>
            </w:pPr>
            <w:r>
              <w:rPr>
                <w:rFonts w:hint="eastAsia" w:ascii="宋体" w:hAnsi="宋体"/>
                <w:b/>
                <w:color w:val="000000"/>
                <w:sz w:val="24"/>
                <w:lang w:val="en-US" w:eastAsia="zh-CN"/>
              </w:rPr>
              <w:t>20</w:t>
            </w:r>
            <w:r>
              <w:rPr>
                <w:rFonts w:hint="eastAsia" w:ascii="宋体" w:hAnsi="宋体"/>
                <w:b/>
                <w:color w:val="000000"/>
                <w:sz w:val="24"/>
              </w:rPr>
              <w:t>分</w:t>
            </w:r>
          </w:p>
        </w:tc>
      </w:tr>
    </w:tbl>
    <w:p>
      <w:pPr>
        <w:pStyle w:val="3"/>
        <w:spacing w:before="0" w:after="0"/>
        <w:jc w:val="both"/>
        <w:rPr>
          <w:rFonts w:ascii="宋体" w:hAnsi="宋体"/>
          <w:color w:val="000000"/>
          <w:szCs w:val="23"/>
        </w:rPr>
      </w:pPr>
    </w:p>
    <w:p>
      <w:pPr>
        <w:pStyle w:val="3"/>
        <w:spacing w:before="0" w:after="0"/>
        <w:jc w:val="both"/>
        <w:rPr>
          <w:rFonts w:ascii="宋体" w:hAnsi="宋体"/>
          <w:color w:val="000000"/>
          <w:szCs w:val="23"/>
        </w:rPr>
      </w:pPr>
    </w:p>
    <w:p>
      <w:pPr>
        <w:pStyle w:val="3"/>
        <w:spacing w:before="0" w:after="0"/>
        <w:jc w:val="both"/>
        <w:rPr>
          <w:rFonts w:ascii="宋体" w:hAnsi="宋体"/>
          <w:color w:val="000000"/>
          <w:szCs w:val="23"/>
        </w:rPr>
      </w:pPr>
    </w:p>
    <w:p>
      <w:pPr>
        <w:pStyle w:val="3"/>
        <w:spacing w:before="0" w:after="0"/>
        <w:jc w:val="both"/>
        <w:rPr>
          <w:rFonts w:ascii="宋体" w:hAnsi="宋体"/>
          <w:color w:val="000000"/>
          <w:szCs w:val="23"/>
        </w:rPr>
      </w:pPr>
    </w:p>
    <w:p>
      <w:pPr>
        <w:pStyle w:val="3"/>
        <w:spacing w:before="0" w:after="0"/>
        <w:jc w:val="both"/>
        <w:rPr>
          <w:rFonts w:ascii="宋体" w:hAnsi="宋体"/>
          <w:color w:val="000000"/>
          <w:szCs w:val="23"/>
        </w:rPr>
      </w:pPr>
    </w:p>
    <w:p>
      <w:pPr>
        <w:rPr>
          <w:rFonts w:ascii="宋体" w:hAnsi="宋体"/>
          <w:color w:val="000000"/>
          <w:sz w:val="28"/>
          <w:szCs w:val="23"/>
        </w:rPr>
      </w:pPr>
    </w:p>
    <w:p>
      <w:pPr>
        <w:pStyle w:val="53"/>
        <w:ind w:firstLine="560"/>
        <w:rPr>
          <w:rFonts w:ascii="宋体" w:hAnsi="宋体"/>
          <w:color w:val="000000"/>
          <w:sz w:val="28"/>
          <w:szCs w:val="23"/>
        </w:rPr>
      </w:pPr>
    </w:p>
    <w:p>
      <w:pPr>
        <w:pStyle w:val="53"/>
        <w:ind w:firstLine="560"/>
        <w:rPr>
          <w:rFonts w:ascii="宋体" w:hAnsi="宋体"/>
          <w:color w:val="000000"/>
          <w:sz w:val="28"/>
          <w:szCs w:val="23"/>
        </w:rPr>
      </w:pPr>
    </w:p>
    <w:p>
      <w:pPr>
        <w:pStyle w:val="53"/>
        <w:ind w:firstLine="560"/>
        <w:rPr>
          <w:rFonts w:ascii="宋体" w:hAnsi="宋体"/>
          <w:color w:val="000000"/>
          <w:sz w:val="28"/>
          <w:szCs w:val="23"/>
        </w:rPr>
      </w:pPr>
    </w:p>
    <w:p>
      <w:pPr>
        <w:pStyle w:val="53"/>
        <w:ind w:firstLine="560"/>
        <w:rPr>
          <w:rFonts w:ascii="宋体" w:hAnsi="宋体"/>
          <w:color w:val="000000"/>
          <w:sz w:val="28"/>
          <w:szCs w:val="23"/>
        </w:rPr>
      </w:pPr>
    </w:p>
    <w:p>
      <w:pPr>
        <w:pStyle w:val="53"/>
        <w:ind w:firstLine="560"/>
        <w:rPr>
          <w:rFonts w:ascii="宋体" w:hAnsi="宋体"/>
          <w:color w:val="000000"/>
          <w:sz w:val="28"/>
          <w:szCs w:val="23"/>
        </w:rPr>
      </w:pPr>
    </w:p>
    <w:p>
      <w:pPr>
        <w:pStyle w:val="53"/>
        <w:ind w:firstLine="560"/>
        <w:rPr>
          <w:rFonts w:ascii="宋体" w:hAnsi="宋体"/>
          <w:color w:val="000000"/>
          <w:sz w:val="28"/>
          <w:szCs w:val="23"/>
        </w:rPr>
      </w:pPr>
    </w:p>
    <w:p>
      <w:pPr>
        <w:pStyle w:val="53"/>
        <w:ind w:firstLine="560"/>
        <w:rPr>
          <w:rFonts w:ascii="宋体" w:hAnsi="宋体"/>
          <w:color w:val="000000"/>
          <w:sz w:val="28"/>
          <w:szCs w:val="23"/>
        </w:rPr>
      </w:pPr>
    </w:p>
    <w:p>
      <w:pPr>
        <w:pStyle w:val="53"/>
        <w:ind w:firstLine="560"/>
        <w:rPr>
          <w:rFonts w:ascii="宋体" w:hAnsi="宋体"/>
          <w:color w:val="000000"/>
          <w:sz w:val="28"/>
          <w:szCs w:val="23"/>
        </w:rPr>
      </w:pPr>
    </w:p>
    <w:p>
      <w:pPr>
        <w:rPr>
          <w:b/>
          <w:bCs/>
          <w:sz w:val="28"/>
          <w:szCs w:val="28"/>
        </w:rPr>
      </w:pPr>
      <w:r>
        <w:rPr>
          <w:rFonts w:hint="eastAsia"/>
          <w:b/>
          <w:bCs/>
          <w:sz w:val="28"/>
          <w:szCs w:val="28"/>
        </w:rPr>
        <w:t>附表四：</w:t>
      </w:r>
    </w:p>
    <w:p>
      <w:pPr>
        <w:jc w:val="center"/>
        <w:rPr>
          <w:b/>
          <w:bCs/>
          <w:sz w:val="28"/>
          <w:szCs w:val="28"/>
        </w:rPr>
      </w:pPr>
      <w:r>
        <w:rPr>
          <w:rFonts w:hint="eastAsia"/>
          <w:b/>
          <w:bCs/>
          <w:sz w:val="28"/>
          <w:szCs w:val="28"/>
        </w:rPr>
        <w:t>商务评分表</w:t>
      </w:r>
    </w:p>
    <w:p>
      <w:pPr>
        <w:pStyle w:val="53"/>
        <w:ind w:firstLine="0" w:firstLineChars="0"/>
        <w:rPr>
          <w:b/>
          <w:bCs/>
        </w:rPr>
      </w:pPr>
    </w:p>
    <w:tbl>
      <w:tblPr>
        <w:tblStyle w:val="43"/>
        <w:tblW w:w="10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5"/>
        <w:gridCol w:w="1234"/>
        <w:gridCol w:w="7421"/>
        <w:gridCol w:w="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645" w:type="dxa"/>
            <w:shd w:val="clear" w:color="auto" w:fill="C0C0C0"/>
            <w:vAlign w:val="center"/>
          </w:tcPr>
          <w:p>
            <w:pPr>
              <w:spacing w:line="360" w:lineRule="exact"/>
              <w:ind w:left="-50" w:right="-51"/>
              <w:jc w:val="center"/>
              <w:rPr>
                <w:rFonts w:ascii="宋体" w:hAnsi="宋体" w:cs="宋体"/>
                <w:b/>
                <w:sz w:val="24"/>
              </w:rPr>
            </w:pPr>
            <w:r>
              <w:rPr>
                <w:rFonts w:hint="eastAsia" w:ascii="宋体" w:hAnsi="宋体" w:cs="宋体"/>
                <w:b/>
                <w:sz w:val="24"/>
              </w:rPr>
              <w:t>序号</w:t>
            </w:r>
          </w:p>
        </w:tc>
        <w:tc>
          <w:tcPr>
            <w:tcW w:w="1234" w:type="dxa"/>
            <w:shd w:val="clear" w:color="auto" w:fill="C0C0C0"/>
            <w:vAlign w:val="center"/>
          </w:tcPr>
          <w:p>
            <w:pPr>
              <w:spacing w:line="360" w:lineRule="exact"/>
              <w:ind w:left="-50" w:right="-51"/>
              <w:jc w:val="center"/>
              <w:rPr>
                <w:rFonts w:ascii="宋体" w:hAnsi="宋体" w:cs="宋体"/>
                <w:b/>
                <w:sz w:val="24"/>
              </w:rPr>
            </w:pPr>
            <w:r>
              <w:rPr>
                <w:rFonts w:hint="eastAsia" w:ascii="宋体" w:hAnsi="宋体" w:cs="宋体"/>
                <w:b/>
                <w:sz w:val="24"/>
              </w:rPr>
              <w:t>评分项</w:t>
            </w:r>
          </w:p>
        </w:tc>
        <w:tc>
          <w:tcPr>
            <w:tcW w:w="7421" w:type="dxa"/>
            <w:shd w:val="clear" w:color="auto" w:fill="C0C0C0"/>
            <w:vAlign w:val="center"/>
          </w:tcPr>
          <w:p>
            <w:pPr>
              <w:spacing w:line="360" w:lineRule="exact"/>
              <w:ind w:left="-50" w:right="-37"/>
              <w:jc w:val="center"/>
              <w:rPr>
                <w:rFonts w:ascii="宋体" w:hAnsi="宋体" w:cs="宋体"/>
                <w:b/>
                <w:sz w:val="24"/>
              </w:rPr>
            </w:pPr>
            <w:r>
              <w:rPr>
                <w:rFonts w:hint="eastAsia" w:ascii="宋体" w:hAnsi="宋体" w:cs="宋体"/>
                <w:b/>
                <w:sz w:val="24"/>
              </w:rPr>
              <w:t>评分内容</w:t>
            </w:r>
          </w:p>
        </w:tc>
        <w:tc>
          <w:tcPr>
            <w:tcW w:w="796" w:type="dxa"/>
            <w:shd w:val="clear" w:color="auto" w:fill="C0C0C0"/>
            <w:vAlign w:val="center"/>
          </w:tcPr>
          <w:p>
            <w:pPr>
              <w:spacing w:line="360" w:lineRule="exact"/>
              <w:ind w:left="-105" w:leftChars="-50" w:right="-107" w:rightChars="-51"/>
              <w:jc w:val="center"/>
              <w:rPr>
                <w:rFonts w:ascii="宋体" w:hAnsi="宋体" w:cs="宋体"/>
                <w:b/>
                <w:sz w:val="24"/>
              </w:rPr>
            </w:pPr>
            <w:r>
              <w:rPr>
                <w:rFonts w:hint="eastAsia" w:ascii="宋体" w:hAnsi="宋体" w:cs="宋体"/>
                <w:b/>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blHeader/>
          <w:jc w:val="center"/>
        </w:trPr>
        <w:tc>
          <w:tcPr>
            <w:tcW w:w="645" w:type="dxa"/>
            <w:vAlign w:val="center"/>
          </w:tcPr>
          <w:p>
            <w:pPr>
              <w:spacing w:before="46" w:beforeLines="15" w:after="46" w:afterLines="15"/>
              <w:ind w:left="-50" w:right="-51"/>
              <w:jc w:val="center"/>
              <w:rPr>
                <w:rFonts w:ascii="宋体" w:hAnsi="宋体" w:cs="宋体"/>
                <w:sz w:val="24"/>
              </w:rPr>
            </w:pPr>
            <w:r>
              <w:rPr>
                <w:rFonts w:hint="eastAsia" w:ascii="宋体" w:hAnsi="宋体" w:cs="宋体"/>
                <w:sz w:val="24"/>
              </w:rPr>
              <w:t>1</w:t>
            </w:r>
          </w:p>
        </w:tc>
        <w:tc>
          <w:tcPr>
            <w:tcW w:w="1234" w:type="dxa"/>
            <w:vAlign w:val="center"/>
          </w:tcPr>
          <w:p>
            <w:pPr>
              <w:spacing w:before="46" w:beforeLines="15" w:after="46" w:afterLines="15"/>
              <w:jc w:val="center"/>
              <w:rPr>
                <w:rFonts w:ascii="宋体" w:hAnsi="宋体" w:cs="宋体"/>
                <w:kern w:val="0"/>
                <w:sz w:val="24"/>
              </w:rPr>
            </w:pPr>
            <w:r>
              <w:rPr>
                <w:rFonts w:hint="eastAsia" w:ascii="宋体" w:hAnsi="宋体" w:eastAsia="宋体" w:cs="Times New Roman"/>
                <w:color w:val="000000"/>
                <w:kern w:val="2"/>
                <w:sz w:val="21"/>
                <w:szCs w:val="21"/>
                <w:lang w:val="en-US" w:eastAsia="zh-CN" w:bidi="ar-SA"/>
              </w:rPr>
              <w:t>商务响应情况</w:t>
            </w:r>
          </w:p>
        </w:tc>
        <w:tc>
          <w:tcPr>
            <w:tcW w:w="7421" w:type="dxa"/>
            <w:vAlign w:val="center"/>
          </w:tcPr>
          <w:p>
            <w:pPr>
              <w:pStyle w:val="172"/>
              <w:spacing w:before="46" w:beforeLines="15" w:after="46" w:afterLines="15"/>
              <w:rPr>
                <w:rFonts w:ascii="宋体" w:hAnsi="宋体"/>
                <w:sz w:val="24"/>
              </w:rPr>
            </w:pPr>
            <w:r>
              <w:rPr>
                <w:rFonts w:hint="eastAsia" w:ascii="宋体" w:hAnsi="宋体" w:eastAsia="宋体" w:cs="Times New Roman"/>
                <w:color w:val="000000"/>
                <w:kern w:val="2"/>
                <w:sz w:val="21"/>
                <w:szCs w:val="21"/>
                <w:lang w:val="en-US" w:eastAsia="zh-CN" w:bidi="ar-SA"/>
              </w:rPr>
              <w:t>投标人对招标文件商务要求的响应程度：优于的得12分；完全满足，得8分；不满足的，得0分。（提供商务要求响应表，若商务要求中有要求提供证明材料的，需提供符合要求证明材料，否则视为负偏离。）</w:t>
            </w:r>
          </w:p>
        </w:tc>
        <w:tc>
          <w:tcPr>
            <w:tcW w:w="796" w:type="dxa"/>
            <w:vAlign w:val="center"/>
          </w:tcPr>
          <w:p>
            <w:pPr>
              <w:spacing w:before="46" w:beforeLines="15" w:after="46" w:afterLines="15"/>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2" w:hRule="atLeast"/>
          <w:tblHeader/>
          <w:jc w:val="center"/>
        </w:trPr>
        <w:tc>
          <w:tcPr>
            <w:tcW w:w="645" w:type="dxa"/>
            <w:vAlign w:val="center"/>
          </w:tcPr>
          <w:p>
            <w:pPr>
              <w:spacing w:before="46" w:beforeLines="15" w:after="46" w:afterLines="15"/>
              <w:ind w:left="-50" w:right="-51"/>
              <w:jc w:val="center"/>
              <w:rPr>
                <w:rFonts w:ascii="宋体" w:hAnsi="宋体" w:cs="宋体"/>
                <w:sz w:val="24"/>
              </w:rPr>
            </w:pPr>
            <w:r>
              <w:rPr>
                <w:rFonts w:hint="eastAsia" w:ascii="宋体" w:hAnsi="宋体" w:cs="宋体"/>
                <w:sz w:val="24"/>
              </w:rPr>
              <w:t>2</w:t>
            </w:r>
          </w:p>
        </w:tc>
        <w:tc>
          <w:tcPr>
            <w:tcW w:w="1234" w:type="dxa"/>
            <w:vAlign w:val="center"/>
          </w:tcPr>
          <w:p>
            <w:pPr>
              <w:widowControl/>
              <w:spacing w:before="46" w:beforeLines="15" w:after="46" w:afterLines="15"/>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业绩证明</w:t>
            </w:r>
          </w:p>
        </w:tc>
        <w:tc>
          <w:tcPr>
            <w:tcW w:w="7421" w:type="dxa"/>
            <w:vAlign w:val="center"/>
          </w:tcPr>
          <w:p>
            <w:pPr>
              <w:pStyle w:val="172"/>
              <w:spacing w:before="46" w:beforeLines="15" w:after="46" w:afterLines="15"/>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提供2019年1月1日以来（以合同签订时间为准）承接过类似同类服务项目的业绩：每个业绩得3分，最多得15分，不提供不得分。</w:t>
            </w:r>
          </w:p>
          <w:p>
            <w:pPr>
              <w:pStyle w:val="172"/>
              <w:spacing w:before="46" w:beforeLines="15" w:after="46" w:afterLines="15"/>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注：投标人须提供每个业绩的合同关键页（关键页包括能够获知甲乙双方名称、合同的内容、数量、标的、签订时间及签字盖章页）复印件，并加盖投标人公章，否则视为无效业绩处理，若难以辨认则也视为无效业绩。）</w:t>
            </w:r>
          </w:p>
        </w:tc>
        <w:tc>
          <w:tcPr>
            <w:tcW w:w="796" w:type="dxa"/>
            <w:vAlign w:val="center"/>
          </w:tcPr>
          <w:p>
            <w:pPr>
              <w:spacing w:before="46" w:beforeLines="15" w:after="46" w:afterLines="15"/>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tblHeader/>
          <w:jc w:val="center"/>
        </w:trPr>
        <w:tc>
          <w:tcPr>
            <w:tcW w:w="645" w:type="dxa"/>
            <w:vAlign w:val="center"/>
          </w:tcPr>
          <w:p>
            <w:pPr>
              <w:spacing w:before="46" w:beforeLines="15" w:after="46" w:afterLines="15"/>
              <w:ind w:left="-50" w:right="-51"/>
              <w:jc w:val="center"/>
              <w:rPr>
                <w:rFonts w:ascii="宋体" w:hAnsi="宋体" w:cs="宋体"/>
                <w:sz w:val="24"/>
              </w:rPr>
            </w:pPr>
            <w:r>
              <w:rPr>
                <w:rFonts w:hint="eastAsia" w:ascii="宋体" w:hAnsi="宋体" w:cs="宋体"/>
                <w:sz w:val="24"/>
              </w:rPr>
              <w:t>3</w:t>
            </w:r>
          </w:p>
        </w:tc>
        <w:tc>
          <w:tcPr>
            <w:tcW w:w="1234" w:type="dxa"/>
            <w:vAlign w:val="center"/>
          </w:tcPr>
          <w:p>
            <w:pPr>
              <w:widowControl/>
              <w:spacing w:before="46" w:beforeLines="15" w:after="46" w:afterLines="15"/>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投标人</w:t>
            </w:r>
          </w:p>
          <w:p>
            <w:pPr>
              <w:widowControl/>
              <w:spacing w:before="46" w:beforeLines="15" w:after="46" w:afterLines="15"/>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信誉</w:t>
            </w:r>
          </w:p>
        </w:tc>
        <w:tc>
          <w:tcPr>
            <w:tcW w:w="7421" w:type="dxa"/>
            <w:vAlign w:val="center"/>
          </w:tcPr>
          <w:p>
            <w:pPr>
              <w:widowControl/>
              <w:spacing w:before="46" w:beforeLines="15" w:after="46" w:afterLines="15"/>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1.质量管理体系认证证书，得2分；</w:t>
            </w:r>
          </w:p>
          <w:p>
            <w:pPr>
              <w:widowControl/>
              <w:spacing w:before="46" w:beforeLines="15" w:after="46" w:afterLines="15"/>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2.环境管理体系认证证书，得2分；</w:t>
            </w:r>
          </w:p>
          <w:p>
            <w:pPr>
              <w:widowControl/>
              <w:spacing w:before="46" w:beforeLines="15" w:after="46" w:afterLines="15"/>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3.职业健康安全管理体系认证证书，得2分；</w:t>
            </w:r>
          </w:p>
          <w:p>
            <w:pPr>
              <w:widowControl/>
              <w:spacing w:before="46" w:beforeLines="15" w:after="46" w:afterLines="15"/>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以上3项，每项须提供证书复印件，并须同时提供在“全国认证认可信息公共服务平台”对体系证书的信息查询截图作为评审依据，才能得相应分数。认证已失效或撤销的，或者没有按照要求提供齐全的证明材料的，不得分。</w:t>
            </w:r>
          </w:p>
        </w:tc>
        <w:tc>
          <w:tcPr>
            <w:tcW w:w="796" w:type="dxa"/>
            <w:vAlign w:val="center"/>
          </w:tcPr>
          <w:p>
            <w:pPr>
              <w:widowControl/>
              <w:spacing w:before="46" w:beforeLines="15" w:after="46" w:afterLines="15"/>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0" w:hRule="atLeast"/>
          <w:tblHeader/>
          <w:jc w:val="center"/>
        </w:trPr>
        <w:tc>
          <w:tcPr>
            <w:tcW w:w="645" w:type="dxa"/>
            <w:vAlign w:val="center"/>
          </w:tcPr>
          <w:p>
            <w:pPr>
              <w:spacing w:before="46" w:beforeLines="15" w:after="46" w:afterLines="15"/>
              <w:ind w:left="-50" w:right="-51"/>
              <w:jc w:val="center"/>
              <w:rPr>
                <w:rFonts w:ascii="宋体" w:hAnsi="宋体" w:cs="宋体"/>
                <w:sz w:val="24"/>
              </w:rPr>
            </w:pPr>
            <w:r>
              <w:rPr>
                <w:rFonts w:hint="eastAsia" w:ascii="宋体" w:hAnsi="宋体" w:cs="宋体"/>
                <w:sz w:val="24"/>
              </w:rPr>
              <w:t>4</w:t>
            </w:r>
          </w:p>
        </w:tc>
        <w:tc>
          <w:tcPr>
            <w:tcW w:w="1234" w:type="dxa"/>
            <w:vAlign w:val="center"/>
          </w:tcPr>
          <w:p>
            <w:pPr>
              <w:widowControl/>
              <w:spacing w:before="46" w:beforeLines="15" w:after="46" w:afterLines="15"/>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业务符</w:t>
            </w:r>
          </w:p>
          <w:p>
            <w:pPr>
              <w:widowControl/>
              <w:spacing w:before="46" w:beforeLines="15" w:after="46" w:afterLines="15"/>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合性</w:t>
            </w:r>
          </w:p>
        </w:tc>
        <w:tc>
          <w:tcPr>
            <w:tcW w:w="7421" w:type="dxa"/>
            <w:vAlign w:val="center"/>
          </w:tcPr>
          <w:p>
            <w:pPr>
              <w:widowControl/>
              <w:spacing w:before="46" w:beforeLines="15" w:after="46" w:afterLines="15"/>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投标人经营的业务类型完全符合或优于采购要求：7分；</w:t>
            </w:r>
          </w:p>
          <w:p>
            <w:pPr>
              <w:widowControl/>
              <w:spacing w:before="46" w:beforeLines="15" w:after="46" w:afterLines="15"/>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投标人经营的业务类型基本符合采购要求：4分；</w:t>
            </w:r>
          </w:p>
          <w:p>
            <w:pPr>
              <w:widowControl/>
              <w:spacing w:before="46" w:beforeLines="15" w:after="46" w:afterLines="15"/>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投标人经营的业务类型基本不符合采购要求：0分。</w:t>
            </w:r>
          </w:p>
        </w:tc>
        <w:tc>
          <w:tcPr>
            <w:tcW w:w="796" w:type="dxa"/>
            <w:vAlign w:val="center"/>
          </w:tcPr>
          <w:p>
            <w:pPr>
              <w:widowControl/>
              <w:spacing w:before="46" w:beforeLines="15" w:after="46" w:afterLines="15"/>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blHeader/>
          <w:jc w:val="center"/>
        </w:trPr>
        <w:tc>
          <w:tcPr>
            <w:tcW w:w="9300" w:type="dxa"/>
            <w:gridSpan w:val="3"/>
          </w:tcPr>
          <w:p>
            <w:pPr>
              <w:adjustRightInd w:val="0"/>
              <w:snapToGrid w:val="0"/>
              <w:jc w:val="center"/>
              <w:rPr>
                <w:b/>
                <w:bCs/>
                <w:sz w:val="24"/>
              </w:rPr>
            </w:pPr>
          </w:p>
          <w:p>
            <w:pPr>
              <w:adjustRightInd w:val="0"/>
              <w:snapToGrid w:val="0"/>
              <w:jc w:val="center"/>
              <w:rPr>
                <w:b/>
                <w:bCs/>
                <w:sz w:val="24"/>
              </w:rPr>
            </w:pPr>
            <w:r>
              <w:rPr>
                <w:rFonts w:hint="eastAsia"/>
                <w:b/>
                <w:bCs/>
                <w:sz w:val="24"/>
              </w:rPr>
              <w:t>合计</w:t>
            </w:r>
          </w:p>
          <w:p>
            <w:pPr>
              <w:pStyle w:val="53"/>
              <w:ind w:firstLine="482"/>
              <w:rPr>
                <w:b/>
                <w:bCs/>
                <w:sz w:val="24"/>
              </w:rPr>
            </w:pPr>
          </w:p>
        </w:tc>
        <w:tc>
          <w:tcPr>
            <w:tcW w:w="796" w:type="dxa"/>
            <w:vAlign w:val="center"/>
          </w:tcPr>
          <w:p>
            <w:pPr>
              <w:adjustRightInd w:val="0"/>
              <w:snapToGrid w:val="0"/>
              <w:jc w:val="center"/>
              <w:rPr>
                <w:rFonts w:ascii="宋体" w:hAnsi="宋体"/>
                <w:b/>
                <w:bCs/>
                <w:color w:val="000000"/>
                <w:sz w:val="24"/>
              </w:rPr>
            </w:pPr>
            <w:r>
              <w:rPr>
                <w:rFonts w:hint="eastAsia" w:ascii="宋体" w:hAnsi="宋体"/>
                <w:b/>
                <w:bCs/>
                <w:color w:val="000000"/>
                <w:sz w:val="24"/>
                <w:lang w:val="en-US" w:eastAsia="zh-CN"/>
              </w:rPr>
              <w:t>40</w:t>
            </w:r>
            <w:r>
              <w:rPr>
                <w:rFonts w:hint="eastAsia" w:ascii="宋体" w:hAnsi="宋体"/>
                <w:b/>
                <w:bCs/>
                <w:color w:val="000000"/>
                <w:sz w:val="24"/>
              </w:rPr>
              <w:t>分</w:t>
            </w:r>
          </w:p>
        </w:tc>
      </w:tr>
    </w:tbl>
    <w:p>
      <w:pPr>
        <w:widowControl/>
        <w:adjustRightInd w:val="0"/>
        <w:snapToGrid w:val="0"/>
        <w:jc w:val="left"/>
        <w:rPr>
          <w:rFonts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p>
    <w:p>
      <w:pPr>
        <w:pStyle w:val="53"/>
        <w:ind w:firstLine="0" w:firstLineChars="0"/>
        <w:rPr>
          <w:b/>
          <w:bCs/>
        </w:rPr>
      </w:pPr>
    </w:p>
    <w:p>
      <w:pPr>
        <w:widowControl/>
        <w:adjustRightInd w:val="0"/>
        <w:snapToGrid w:val="0"/>
        <w:jc w:val="left"/>
        <w:rPr>
          <w:rFonts w:ascii="宋体" w:hAnsi="Arial"/>
          <w:b/>
          <w:color w:val="000000"/>
          <w:sz w:val="28"/>
          <w:szCs w:val="28"/>
        </w:rPr>
      </w:pPr>
    </w:p>
    <w:p>
      <w:pPr>
        <w:widowControl/>
        <w:adjustRightInd w:val="0"/>
        <w:snapToGrid w:val="0"/>
        <w:jc w:val="left"/>
        <w:rPr>
          <w:rFonts w:ascii="宋体" w:hAnsi="Arial"/>
          <w:b/>
          <w:color w:val="000000"/>
          <w:sz w:val="28"/>
          <w:szCs w:val="28"/>
        </w:rPr>
      </w:pPr>
    </w:p>
    <w:p>
      <w:pPr>
        <w:widowControl/>
        <w:adjustRightInd w:val="0"/>
        <w:snapToGrid w:val="0"/>
        <w:jc w:val="left"/>
        <w:rPr>
          <w:rFonts w:ascii="宋体" w:hAnsi="Arial"/>
          <w:b/>
          <w:color w:val="000000"/>
          <w:sz w:val="28"/>
          <w:szCs w:val="28"/>
        </w:rPr>
      </w:pPr>
    </w:p>
    <w:p>
      <w:pPr>
        <w:widowControl/>
        <w:adjustRightInd w:val="0"/>
        <w:snapToGrid w:val="0"/>
        <w:jc w:val="left"/>
        <w:rPr>
          <w:rFonts w:ascii="宋体" w:hAnsi="Arial"/>
          <w:b/>
          <w:color w:val="000000"/>
          <w:sz w:val="28"/>
          <w:szCs w:val="28"/>
        </w:rPr>
      </w:pPr>
    </w:p>
    <w:p>
      <w:pPr>
        <w:widowControl/>
        <w:adjustRightInd w:val="0"/>
        <w:snapToGrid w:val="0"/>
        <w:jc w:val="left"/>
        <w:rPr>
          <w:rFonts w:ascii="宋体" w:hAnsi="Arial"/>
          <w:b/>
          <w:color w:val="000000"/>
          <w:sz w:val="28"/>
          <w:szCs w:val="28"/>
        </w:rPr>
      </w:pPr>
    </w:p>
    <w:p>
      <w:pPr>
        <w:widowControl/>
        <w:adjustRightInd w:val="0"/>
        <w:snapToGrid w:val="0"/>
        <w:jc w:val="left"/>
        <w:rPr>
          <w:rFonts w:ascii="宋体" w:hAnsi="Arial"/>
          <w:b/>
          <w:color w:val="000000"/>
          <w:sz w:val="28"/>
          <w:szCs w:val="28"/>
        </w:rPr>
      </w:pPr>
    </w:p>
    <w:p>
      <w:pPr>
        <w:widowControl/>
        <w:adjustRightInd w:val="0"/>
        <w:snapToGrid w:val="0"/>
        <w:jc w:val="left"/>
        <w:rPr>
          <w:rFonts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ascii="宋体" w:hAnsi="Arial"/>
          <w:b/>
          <w:color w:val="000000"/>
          <w:sz w:val="28"/>
          <w:szCs w:val="28"/>
        </w:rPr>
      </w:pPr>
      <w:r>
        <w:rPr>
          <w:rFonts w:hint="eastAsia" w:ascii="宋体" w:hAnsi="Arial"/>
          <w:b/>
          <w:color w:val="000000"/>
          <w:sz w:val="28"/>
          <w:szCs w:val="28"/>
        </w:rPr>
        <w:t>附表五：</w:t>
      </w:r>
    </w:p>
    <w:p>
      <w:pPr>
        <w:snapToGrid w:val="0"/>
        <w:jc w:val="center"/>
        <w:rPr>
          <w:rFonts w:ascii="宋体" w:hAnsi="Arial"/>
          <w:b/>
          <w:color w:val="000000"/>
          <w:sz w:val="28"/>
          <w:szCs w:val="28"/>
        </w:rPr>
      </w:pPr>
      <w:r>
        <w:rPr>
          <w:rFonts w:hint="eastAsia" w:ascii="宋体" w:hAnsi="Arial"/>
          <w:b/>
          <w:color w:val="000000"/>
          <w:sz w:val="28"/>
          <w:szCs w:val="28"/>
        </w:rPr>
        <w:t>技术评分表</w:t>
      </w:r>
    </w:p>
    <w:p>
      <w:pPr>
        <w:pStyle w:val="53"/>
        <w:ind w:firstLine="400"/>
      </w:pPr>
    </w:p>
    <w:tbl>
      <w:tblPr>
        <w:tblStyle w:val="43"/>
        <w:tblW w:w="97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9"/>
        <w:gridCol w:w="1267"/>
        <w:gridCol w:w="7079"/>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539" w:type="dxa"/>
            <w:shd w:val="clear" w:color="auto" w:fill="C0C0C0"/>
            <w:vAlign w:val="center"/>
          </w:tcPr>
          <w:p>
            <w:pPr>
              <w:spacing w:line="360" w:lineRule="exact"/>
              <w:ind w:left="-50" w:right="-51"/>
              <w:jc w:val="center"/>
              <w:rPr>
                <w:rFonts w:ascii="宋体" w:hAnsi="宋体" w:cs="宋体"/>
                <w:b/>
                <w:sz w:val="24"/>
              </w:rPr>
            </w:pPr>
            <w:r>
              <w:rPr>
                <w:rFonts w:hint="eastAsia" w:ascii="宋体" w:hAnsi="宋体" w:cs="宋体"/>
                <w:b/>
                <w:sz w:val="24"/>
              </w:rPr>
              <w:t>序号</w:t>
            </w:r>
          </w:p>
        </w:tc>
        <w:tc>
          <w:tcPr>
            <w:tcW w:w="1267" w:type="dxa"/>
            <w:shd w:val="clear" w:color="auto" w:fill="C0C0C0"/>
            <w:vAlign w:val="center"/>
          </w:tcPr>
          <w:p>
            <w:pPr>
              <w:spacing w:line="360" w:lineRule="exact"/>
              <w:ind w:left="-50" w:right="-51"/>
              <w:jc w:val="center"/>
              <w:rPr>
                <w:rFonts w:ascii="宋体" w:hAnsi="宋体" w:cs="宋体"/>
                <w:b/>
                <w:sz w:val="24"/>
              </w:rPr>
            </w:pPr>
            <w:r>
              <w:rPr>
                <w:rFonts w:hint="eastAsia" w:ascii="宋体" w:hAnsi="宋体" w:cs="宋体"/>
                <w:b/>
                <w:sz w:val="24"/>
              </w:rPr>
              <w:t>评分项</w:t>
            </w:r>
          </w:p>
        </w:tc>
        <w:tc>
          <w:tcPr>
            <w:tcW w:w="7079" w:type="dxa"/>
            <w:shd w:val="clear" w:color="auto" w:fill="C0C0C0"/>
            <w:vAlign w:val="center"/>
          </w:tcPr>
          <w:p>
            <w:pPr>
              <w:spacing w:line="360" w:lineRule="exact"/>
              <w:ind w:left="-50" w:right="-37"/>
              <w:jc w:val="center"/>
              <w:rPr>
                <w:rFonts w:ascii="宋体" w:hAnsi="宋体" w:cs="宋体"/>
                <w:b/>
                <w:sz w:val="24"/>
              </w:rPr>
            </w:pPr>
            <w:r>
              <w:rPr>
                <w:rFonts w:hint="eastAsia" w:ascii="宋体" w:hAnsi="宋体" w:cs="宋体"/>
                <w:b/>
                <w:sz w:val="24"/>
              </w:rPr>
              <w:t>评分内容</w:t>
            </w:r>
          </w:p>
        </w:tc>
        <w:tc>
          <w:tcPr>
            <w:tcW w:w="901" w:type="dxa"/>
            <w:shd w:val="clear" w:color="auto" w:fill="C0C0C0"/>
            <w:vAlign w:val="center"/>
          </w:tcPr>
          <w:p>
            <w:pPr>
              <w:spacing w:line="360" w:lineRule="exact"/>
              <w:ind w:left="-105" w:leftChars="-50" w:right="-107" w:rightChars="-51"/>
              <w:jc w:val="center"/>
              <w:rPr>
                <w:rFonts w:ascii="宋体" w:hAnsi="宋体" w:cs="宋体"/>
                <w:b/>
                <w:sz w:val="24"/>
              </w:rPr>
            </w:pPr>
            <w:r>
              <w:rPr>
                <w:rFonts w:hint="eastAsia" w:ascii="宋体" w:hAnsi="宋体" w:cs="宋体"/>
                <w:b/>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blHeader/>
          <w:jc w:val="center"/>
        </w:trPr>
        <w:tc>
          <w:tcPr>
            <w:tcW w:w="539" w:type="dxa"/>
            <w:vAlign w:val="center"/>
          </w:tcPr>
          <w:p>
            <w:pPr>
              <w:widowControl/>
              <w:adjustRightInd w:val="0"/>
              <w:snapToGrid w:val="0"/>
              <w:jc w:val="center"/>
              <w:rPr>
                <w:rFonts w:ascii="宋体" w:hAnsi="宋体"/>
                <w:color w:val="000000"/>
                <w:szCs w:val="21"/>
              </w:rPr>
            </w:pPr>
            <w:r>
              <w:rPr>
                <w:rFonts w:hint="eastAsia" w:ascii="宋体" w:hAnsi="宋体"/>
                <w:color w:val="000000"/>
                <w:szCs w:val="21"/>
              </w:rPr>
              <w:t>1</w:t>
            </w:r>
          </w:p>
        </w:tc>
        <w:tc>
          <w:tcPr>
            <w:tcW w:w="1267" w:type="dxa"/>
            <w:vAlign w:val="center"/>
          </w:tcPr>
          <w:p>
            <w:pPr>
              <w:widowControl/>
              <w:adjustRightInd w:val="0"/>
              <w:snapToGrid w:val="0"/>
              <w:jc w:val="center"/>
              <w:rPr>
                <w:rFonts w:hint="eastAsia" w:ascii="宋体" w:hAnsi="宋体" w:eastAsia="宋体" w:cs="Times New Roman"/>
                <w:color w:val="000000"/>
                <w:szCs w:val="21"/>
              </w:rPr>
            </w:pPr>
            <w:r>
              <w:rPr>
                <w:rFonts w:hint="eastAsia" w:ascii="宋体" w:hAnsi="宋体" w:eastAsia="宋体" w:cs="Times New Roman"/>
                <w:color w:val="000000"/>
                <w:szCs w:val="21"/>
              </w:rPr>
              <w:t>技术响应</w:t>
            </w:r>
          </w:p>
          <w:p>
            <w:pPr>
              <w:widowControl/>
              <w:adjustRightInd w:val="0"/>
              <w:snapToGrid w:val="0"/>
              <w:jc w:val="center"/>
              <w:rPr>
                <w:rFonts w:hint="eastAsia" w:ascii="宋体" w:hAnsi="宋体" w:eastAsia="宋体" w:cs="Times New Roman"/>
                <w:color w:val="000000"/>
                <w:szCs w:val="21"/>
              </w:rPr>
            </w:pPr>
            <w:r>
              <w:rPr>
                <w:rFonts w:hint="eastAsia" w:ascii="宋体" w:hAnsi="宋体" w:eastAsia="宋体" w:cs="Times New Roman"/>
                <w:color w:val="000000"/>
                <w:szCs w:val="21"/>
              </w:rPr>
              <w:t>程度</w:t>
            </w:r>
          </w:p>
        </w:tc>
        <w:tc>
          <w:tcPr>
            <w:tcW w:w="7079" w:type="dxa"/>
            <w:vAlign w:val="center"/>
          </w:tcPr>
          <w:p>
            <w:pPr>
              <w:widowControl/>
              <w:adjustRightInd w:val="0"/>
              <w:snapToGrid w:val="0"/>
              <w:jc w:val="left"/>
              <w:rPr>
                <w:rFonts w:hint="default" w:ascii="宋体" w:hAnsi="宋体" w:eastAsia="宋体" w:cs="Times New Roman"/>
                <w:color w:val="000000"/>
                <w:kern w:val="2"/>
                <w:sz w:val="21"/>
                <w:szCs w:val="21"/>
                <w:lang w:val="en-US" w:eastAsia="zh-CN" w:bidi="ar-SA"/>
              </w:rPr>
            </w:pPr>
            <w:r>
              <w:rPr>
                <w:rFonts w:hint="eastAsia" w:ascii="宋体" w:hAnsi="宋体"/>
                <w:color w:val="000000"/>
                <w:szCs w:val="21"/>
              </w:rPr>
              <w:t>考察投标人对招标文件</w:t>
            </w:r>
            <w:r>
              <w:rPr>
                <w:rFonts w:hint="eastAsia" w:ascii="宋体" w:hAnsi="宋体"/>
                <w:color w:val="000000"/>
                <w:szCs w:val="21"/>
                <w:lang w:val="en-US" w:eastAsia="zh-CN"/>
              </w:rPr>
              <w:t>除商务要求外的其余条款</w:t>
            </w:r>
            <w:r>
              <w:rPr>
                <w:rFonts w:hint="eastAsia" w:ascii="宋体" w:hAnsi="宋体"/>
                <w:color w:val="000000"/>
                <w:szCs w:val="21"/>
              </w:rPr>
              <w:t>的响应程度：所有条款优于的得</w:t>
            </w:r>
            <w:r>
              <w:rPr>
                <w:rFonts w:hint="eastAsia" w:ascii="宋体" w:hAnsi="宋体"/>
                <w:color w:val="000000"/>
                <w:szCs w:val="21"/>
                <w:lang w:val="en-US" w:eastAsia="zh-CN"/>
              </w:rPr>
              <w:t>10</w:t>
            </w:r>
            <w:r>
              <w:rPr>
                <w:rFonts w:hint="eastAsia" w:ascii="宋体" w:hAnsi="宋体"/>
                <w:color w:val="000000"/>
                <w:szCs w:val="21"/>
              </w:rPr>
              <w:t>分，</w:t>
            </w:r>
            <w:r>
              <w:rPr>
                <w:rFonts w:hint="eastAsia" w:ascii="宋体" w:hAnsi="宋体"/>
                <w:color w:val="000000"/>
                <w:szCs w:val="21"/>
                <w:lang w:val="en-US" w:eastAsia="zh-CN"/>
              </w:rPr>
              <w:t>完全满足的得8分；不完全满足的得0分。</w:t>
            </w:r>
          </w:p>
        </w:tc>
        <w:tc>
          <w:tcPr>
            <w:tcW w:w="901" w:type="dxa"/>
            <w:vAlign w:val="center"/>
          </w:tcPr>
          <w:p>
            <w:pPr>
              <w:widowControl/>
              <w:adjustRightInd w:val="0"/>
              <w:snapToGrid w:val="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tblHeader/>
          <w:jc w:val="center"/>
        </w:trPr>
        <w:tc>
          <w:tcPr>
            <w:tcW w:w="539" w:type="dxa"/>
            <w:vAlign w:val="center"/>
          </w:tcPr>
          <w:p>
            <w:pPr>
              <w:pStyle w:val="173"/>
              <w:spacing w:before="46" w:beforeLines="15" w:after="46" w:afterLines="15"/>
              <w:jc w:val="center"/>
              <w:rPr>
                <w:rFonts w:ascii="宋体" w:hAnsi="宋体" w:cs="宋体"/>
                <w:sz w:val="24"/>
              </w:rPr>
            </w:pPr>
            <w:r>
              <w:rPr>
                <w:rFonts w:hint="eastAsia" w:ascii="宋体" w:hAnsi="宋体" w:cs="宋体"/>
                <w:sz w:val="24"/>
              </w:rPr>
              <w:t>2</w:t>
            </w:r>
          </w:p>
        </w:tc>
        <w:tc>
          <w:tcPr>
            <w:tcW w:w="1267" w:type="dxa"/>
            <w:vAlign w:val="center"/>
          </w:tcPr>
          <w:p>
            <w:pPr>
              <w:widowControl/>
              <w:adjustRightInd w:val="0"/>
              <w:snapToGrid w:val="0"/>
              <w:jc w:val="center"/>
              <w:rPr>
                <w:rFonts w:hint="eastAsia" w:ascii="宋体" w:hAnsi="宋体" w:eastAsia="宋体" w:cs="Times New Roman"/>
                <w:color w:val="000000"/>
                <w:szCs w:val="21"/>
              </w:rPr>
            </w:pPr>
            <w:r>
              <w:rPr>
                <w:rFonts w:hint="eastAsia" w:ascii="宋体" w:hAnsi="宋体" w:eastAsia="宋体" w:cs="Times New Roman"/>
                <w:color w:val="000000"/>
                <w:szCs w:val="21"/>
              </w:rPr>
              <w:t>日常运维</w:t>
            </w:r>
          </w:p>
          <w:p>
            <w:pPr>
              <w:widowControl/>
              <w:adjustRightInd w:val="0"/>
              <w:snapToGrid w:val="0"/>
              <w:jc w:val="center"/>
              <w:rPr>
                <w:rFonts w:hint="eastAsia" w:ascii="宋体" w:hAnsi="宋体" w:eastAsia="宋体" w:cs="Times New Roman"/>
                <w:color w:val="000000"/>
                <w:szCs w:val="21"/>
              </w:rPr>
            </w:pPr>
            <w:r>
              <w:rPr>
                <w:rFonts w:hint="eastAsia" w:ascii="宋体" w:hAnsi="宋体" w:eastAsia="宋体" w:cs="Times New Roman"/>
                <w:color w:val="000000"/>
                <w:szCs w:val="21"/>
              </w:rPr>
              <w:t>方案</w:t>
            </w:r>
          </w:p>
        </w:tc>
        <w:tc>
          <w:tcPr>
            <w:tcW w:w="7079" w:type="dxa"/>
            <w:vAlign w:val="center"/>
          </w:tcPr>
          <w:p>
            <w:pPr>
              <w:widowControl/>
              <w:adjustRightInd w:val="0"/>
              <w:snapToGrid w:val="0"/>
              <w:ind w:firstLine="210" w:firstLineChars="100"/>
              <w:jc w:val="both"/>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1</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具有完善具体的技术服务方案，方案完整、描述详细、设计合理、可行性强，得</w:t>
            </w:r>
            <w:r>
              <w:rPr>
                <w:rFonts w:hint="eastAsia" w:ascii="宋体" w:hAnsi="宋体" w:eastAsia="宋体" w:cs="Times New Roman"/>
                <w:color w:val="000000"/>
                <w:szCs w:val="21"/>
                <w:lang w:val="en-US" w:eastAsia="zh-CN"/>
              </w:rPr>
              <w:t>8</w:t>
            </w:r>
            <w:r>
              <w:rPr>
                <w:rFonts w:hint="eastAsia" w:ascii="宋体" w:hAnsi="宋体" w:eastAsia="宋体" w:cs="Times New Roman"/>
                <w:color w:val="000000"/>
                <w:szCs w:val="21"/>
              </w:rPr>
              <w:t>分；</w:t>
            </w:r>
          </w:p>
          <w:p>
            <w:pPr>
              <w:widowControl/>
              <w:adjustRightInd w:val="0"/>
              <w:snapToGrid w:val="0"/>
              <w:jc w:val="both"/>
              <w:rPr>
                <w:rFonts w:hint="eastAsia" w:ascii="宋体" w:hAnsi="宋体" w:eastAsia="宋体" w:cs="Times New Roman"/>
                <w:color w:val="000000"/>
                <w:szCs w:val="21"/>
              </w:rPr>
            </w:pPr>
            <w:r>
              <w:rPr>
                <w:rFonts w:hint="eastAsia" w:ascii="宋体" w:hAnsi="宋体" w:eastAsia="宋体" w:cs="Times New Roman"/>
                <w:color w:val="000000"/>
                <w:szCs w:val="21"/>
              </w:rPr>
              <w:t xml:space="preserve"> </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2</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有技术服务方案，方案完善但不具详细，可行性良好，得</w:t>
            </w:r>
            <w:r>
              <w:rPr>
                <w:rFonts w:hint="eastAsia" w:ascii="宋体" w:hAnsi="宋体" w:eastAsia="宋体" w:cs="Times New Roman"/>
                <w:color w:val="000000"/>
                <w:szCs w:val="21"/>
                <w:lang w:val="en-US" w:eastAsia="zh-CN"/>
              </w:rPr>
              <w:t>5</w:t>
            </w:r>
            <w:r>
              <w:rPr>
                <w:rFonts w:hint="eastAsia" w:ascii="宋体" w:hAnsi="宋体" w:eastAsia="宋体" w:cs="Times New Roman"/>
                <w:color w:val="000000"/>
                <w:szCs w:val="21"/>
              </w:rPr>
              <w:t>分；</w:t>
            </w:r>
          </w:p>
          <w:p>
            <w:pPr>
              <w:widowControl/>
              <w:adjustRightInd w:val="0"/>
              <w:snapToGrid w:val="0"/>
              <w:jc w:val="both"/>
              <w:rPr>
                <w:rFonts w:hint="eastAsia" w:ascii="宋体" w:hAnsi="宋体" w:eastAsia="宋体" w:cs="Times New Roman"/>
                <w:color w:val="000000"/>
                <w:szCs w:val="21"/>
              </w:rPr>
            </w:pPr>
            <w:r>
              <w:rPr>
                <w:rFonts w:hint="eastAsia" w:ascii="宋体" w:hAnsi="宋体" w:eastAsia="宋体" w:cs="Times New Roman"/>
                <w:color w:val="000000"/>
                <w:szCs w:val="21"/>
              </w:rPr>
              <w:t xml:space="preserve"> </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3</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有技术服务方案，方案较为完善，具有一定的可行性，得</w:t>
            </w:r>
            <w:r>
              <w:rPr>
                <w:rFonts w:hint="eastAsia" w:ascii="宋体" w:hAnsi="宋体" w:eastAsia="宋体" w:cs="Times New Roman"/>
                <w:color w:val="000000"/>
                <w:szCs w:val="21"/>
                <w:lang w:val="en-US" w:eastAsia="zh-CN"/>
              </w:rPr>
              <w:t>3</w:t>
            </w:r>
            <w:r>
              <w:rPr>
                <w:rFonts w:hint="eastAsia" w:ascii="宋体" w:hAnsi="宋体" w:eastAsia="宋体" w:cs="Times New Roman"/>
                <w:color w:val="000000"/>
                <w:szCs w:val="21"/>
              </w:rPr>
              <w:t>分；</w:t>
            </w:r>
          </w:p>
          <w:p>
            <w:pPr>
              <w:widowControl/>
              <w:adjustRightInd w:val="0"/>
              <w:snapToGrid w:val="0"/>
              <w:jc w:val="both"/>
              <w:rPr>
                <w:rFonts w:ascii="宋体" w:hAnsi="宋体"/>
                <w:bCs/>
                <w:sz w:val="24"/>
              </w:rPr>
            </w:pPr>
            <w:r>
              <w:rPr>
                <w:rFonts w:hint="eastAsia" w:ascii="宋体" w:hAnsi="宋体" w:eastAsia="宋体" w:cs="Times New Roman"/>
                <w:color w:val="000000"/>
                <w:szCs w:val="21"/>
              </w:rPr>
              <w:t xml:space="preserve"> </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4</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有技术服务方案，方案存在问题，得0分</w:t>
            </w:r>
          </w:p>
        </w:tc>
        <w:tc>
          <w:tcPr>
            <w:tcW w:w="901" w:type="dxa"/>
            <w:vAlign w:val="center"/>
          </w:tcPr>
          <w:p>
            <w:pPr>
              <w:widowControl/>
              <w:adjustRightInd w:val="0"/>
              <w:snapToGrid w:val="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8" w:hRule="atLeast"/>
          <w:tblHeader/>
          <w:jc w:val="center"/>
        </w:trPr>
        <w:tc>
          <w:tcPr>
            <w:tcW w:w="539" w:type="dxa"/>
            <w:vAlign w:val="center"/>
          </w:tcPr>
          <w:p>
            <w:pPr>
              <w:pStyle w:val="173"/>
              <w:spacing w:before="46" w:beforeLines="15" w:after="46" w:afterLines="15"/>
              <w:jc w:val="center"/>
              <w:rPr>
                <w:rFonts w:ascii="宋体" w:hAnsi="宋体" w:cs="宋体"/>
                <w:sz w:val="24"/>
              </w:rPr>
            </w:pPr>
            <w:r>
              <w:rPr>
                <w:rFonts w:hint="eastAsia" w:ascii="宋体" w:hAnsi="宋体" w:cs="宋体"/>
                <w:sz w:val="24"/>
              </w:rPr>
              <w:t>3</w:t>
            </w:r>
          </w:p>
        </w:tc>
        <w:tc>
          <w:tcPr>
            <w:tcW w:w="1267" w:type="dxa"/>
            <w:vAlign w:val="center"/>
          </w:tcPr>
          <w:p>
            <w:pPr>
              <w:widowControl/>
              <w:adjustRightInd w:val="0"/>
              <w:snapToGrid w:val="0"/>
              <w:jc w:val="center"/>
              <w:rPr>
                <w:rFonts w:hint="eastAsia" w:ascii="宋体" w:hAnsi="宋体" w:eastAsia="宋体" w:cs="Times New Roman"/>
                <w:color w:val="000000"/>
                <w:szCs w:val="21"/>
              </w:rPr>
            </w:pPr>
            <w:r>
              <w:rPr>
                <w:rFonts w:hint="eastAsia" w:ascii="宋体" w:hAnsi="宋体" w:eastAsia="宋体" w:cs="Times New Roman"/>
                <w:color w:val="000000"/>
                <w:szCs w:val="21"/>
              </w:rPr>
              <w:t>内部管理流程及制度</w:t>
            </w:r>
          </w:p>
        </w:tc>
        <w:tc>
          <w:tcPr>
            <w:tcW w:w="7079" w:type="dxa"/>
            <w:vAlign w:val="center"/>
          </w:tcPr>
          <w:p>
            <w:pPr>
              <w:widowControl/>
              <w:adjustRightInd w:val="0"/>
              <w:snapToGrid w:val="0"/>
              <w:ind w:left="0" w:leftChars="0" w:firstLine="218" w:firstLineChars="104"/>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（1）日常管理、有效监控的渠道、手段以及流程的具体方案，方案完整详细、可行，得8分；</w:t>
            </w:r>
          </w:p>
          <w:p>
            <w:pPr>
              <w:widowControl/>
              <w:adjustRightInd w:val="0"/>
              <w:snapToGrid w:val="0"/>
              <w:ind w:left="0" w:leftChars="0" w:firstLine="218" w:firstLineChars="104"/>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（2）日常管理、有效监控的渠道、手段以及流程的具体方案，方案较为完整，得5分；</w:t>
            </w:r>
          </w:p>
          <w:p>
            <w:pPr>
              <w:widowControl/>
              <w:adjustRightInd w:val="0"/>
              <w:snapToGrid w:val="0"/>
              <w:ind w:left="0" w:leftChars="0" w:firstLine="218" w:firstLineChars="104"/>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（3）日常管理、有效监控的渠道、手段以及流程的具体方案，方案基本完整，得3分；</w:t>
            </w:r>
          </w:p>
          <w:p>
            <w:pPr>
              <w:widowControl/>
              <w:adjustRightInd w:val="0"/>
              <w:snapToGrid w:val="0"/>
              <w:ind w:left="0" w:leftChars="0" w:firstLine="218" w:firstLineChars="104"/>
              <w:jc w:val="both"/>
              <w:rPr>
                <w:sz w:val="24"/>
              </w:rPr>
            </w:pPr>
            <w:r>
              <w:rPr>
                <w:rFonts w:hint="eastAsia" w:ascii="宋体" w:hAnsi="宋体" w:eastAsia="宋体" w:cs="Times New Roman"/>
                <w:color w:val="000000"/>
                <w:szCs w:val="21"/>
                <w:lang w:val="en-US" w:eastAsia="zh-CN"/>
              </w:rPr>
              <w:t>（4）日常管理、有效监控的渠道、手段以及流程的具体方案，方案存在问题，得0分；</w:t>
            </w:r>
          </w:p>
        </w:tc>
        <w:tc>
          <w:tcPr>
            <w:tcW w:w="901" w:type="dxa"/>
            <w:vAlign w:val="center"/>
          </w:tcPr>
          <w:p>
            <w:pPr>
              <w:pStyle w:val="173"/>
              <w:spacing w:before="46" w:beforeLines="15" w:after="46" w:afterLines="15"/>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3" w:hRule="atLeast"/>
          <w:tblHeader/>
          <w:jc w:val="center"/>
        </w:trPr>
        <w:tc>
          <w:tcPr>
            <w:tcW w:w="539" w:type="dxa"/>
            <w:vAlign w:val="center"/>
          </w:tcPr>
          <w:p>
            <w:pPr>
              <w:pStyle w:val="173"/>
              <w:spacing w:before="46" w:beforeLines="15" w:after="46" w:afterLines="15"/>
              <w:jc w:val="center"/>
              <w:rPr>
                <w:rFonts w:ascii="宋体" w:hAnsi="宋体" w:cs="宋体"/>
                <w:sz w:val="24"/>
              </w:rPr>
            </w:pPr>
            <w:r>
              <w:rPr>
                <w:rFonts w:hint="eastAsia" w:ascii="宋体" w:hAnsi="宋体" w:cs="宋体"/>
                <w:sz w:val="24"/>
              </w:rPr>
              <w:t>4</w:t>
            </w:r>
          </w:p>
        </w:tc>
        <w:tc>
          <w:tcPr>
            <w:tcW w:w="1267" w:type="dxa"/>
            <w:vAlign w:val="center"/>
          </w:tcPr>
          <w:p>
            <w:pPr>
              <w:widowControl/>
              <w:adjustRightInd w:val="0"/>
              <w:snapToGrid w:val="0"/>
              <w:jc w:val="center"/>
              <w:rPr>
                <w:rFonts w:hint="eastAsia" w:ascii="宋体" w:hAnsi="宋体" w:eastAsia="宋体" w:cs="Times New Roman"/>
                <w:color w:val="000000"/>
                <w:szCs w:val="21"/>
              </w:rPr>
            </w:pPr>
            <w:r>
              <w:rPr>
                <w:rFonts w:hint="eastAsia" w:ascii="宋体" w:hAnsi="宋体" w:eastAsia="宋体" w:cs="Times New Roman"/>
                <w:color w:val="000000"/>
                <w:szCs w:val="21"/>
              </w:rPr>
              <w:t>服务沟通</w:t>
            </w:r>
          </w:p>
          <w:p>
            <w:pPr>
              <w:widowControl/>
              <w:adjustRightInd w:val="0"/>
              <w:snapToGrid w:val="0"/>
              <w:jc w:val="center"/>
              <w:rPr>
                <w:rFonts w:hint="eastAsia" w:ascii="宋体" w:hAnsi="宋体" w:eastAsia="宋体" w:cs="Times New Roman"/>
                <w:color w:val="000000"/>
                <w:szCs w:val="21"/>
              </w:rPr>
            </w:pPr>
            <w:r>
              <w:rPr>
                <w:rFonts w:hint="eastAsia" w:ascii="宋体" w:hAnsi="宋体" w:eastAsia="宋体" w:cs="Times New Roman"/>
                <w:color w:val="000000"/>
                <w:szCs w:val="21"/>
              </w:rPr>
              <w:t>机制</w:t>
            </w:r>
          </w:p>
        </w:tc>
        <w:tc>
          <w:tcPr>
            <w:tcW w:w="7079" w:type="dxa"/>
            <w:vAlign w:val="center"/>
          </w:tcPr>
          <w:p>
            <w:pPr>
              <w:widowControl/>
              <w:adjustRightInd w:val="0"/>
              <w:snapToGrid w:val="0"/>
              <w:ind w:left="0" w:leftChars="0" w:firstLine="218" w:firstLineChars="104"/>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（1）沟通协调机制完备，驻点人员定期与校方沟通、配合的服务磋商，得8分；</w:t>
            </w:r>
          </w:p>
          <w:p>
            <w:pPr>
              <w:widowControl/>
              <w:adjustRightInd w:val="0"/>
              <w:snapToGrid w:val="0"/>
              <w:ind w:left="0" w:leftChars="0" w:firstLine="218" w:firstLineChars="104"/>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（2）沟通协调机制比较完备，驻点人员定期与校方沟通、配合的服务磋商，得5分；</w:t>
            </w:r>
          </w:p>
          <w:p>
            <w:pPr>
              <w:widowControl/>
              <w:adjustRightInd w:val="0"/>
              <w:snapToGrid w:val="0"/>
              <w:ind w:left="0" w:leftChars="0" w:firstLine="218" w:firstLineChars="104"/>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（3）沟通协调机制基本完备，驻点人员定期与校方沟通、配合的服务磋商，得3分；</w:t>
            </w:r>
          </w:p>
          <w:p>
            <w:pPr>
              <w:widowControl/>
              <w:adjustRightInd w:val="0"/>
              <w:snapToGrid w:val="0"/>
              <w:ind w:left="0" w:leftChars="0" w:firstLine="218" w:firstLineChars="104"/>
              <w:jc w:val="both"/>
            </w:pPr>
            <w:r>
              <w:rPr>
                <w:rFonts w:hint="eastAsia" w:ascii="宋体" w:hAnsi="宋体" w:eastAsia="宋体" w:cs="Times New Roman"/>
                <w:color w:val="000000"/>
                <w:szCs w:val="21"/>
                <w:lang w:val="en-US" w:eastAsia="zh-CN"/>
              </w:rPr>
              <w:t>（4）沟通协调机制不完备，或无专人定期与校方沟通、配合的服务磋商，得0分；</w:t>
            </w:r>
          </w:p>
        </w:tc>
        <w:tc>
          <w:tcPr>
            <w:tcW w:w="901" w:type="dxa"/>
            <w:vAlign w:val="center"/>
          </w:tcPr>
          <w:p>
            <w:pPr>
              <w:pStyle w:val="173"/>
              <w:spacing w:before="46" w:beforeLines="15" w:after="46" w:afterLines="15"/>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blHeader/>
          <w:jc w:val="center"/>
        </w:trPr>
        <w:tc>
          <w:tcPr>
            <w:tcW w:w="539" w:type="dxa"/>
            <w:vAlign w:val="center"/>
          </w:tcPr>
          <w:p>
            <w:pPr>
              <w:pStyle w:val="173"/>
              <w:spacing w:before="46" w:beforeLines="15" w:after="46" w:afterLines="15"/>
              <w:jc w:val="center"/>
              <w:rPr>
                <w:rFonts w:ascii="宋体" w:hAnsi="宋体" w:cs="宋体"/>
                <w:sz w:val="24"/>
              </w:rPr>
            </w:pPr>
            <w:r>
              <w:rPr>
                <w:rFonts w:hint="eastAsia" w:ascii="宋体" w:hAnsi="宋体" w:cs="宋体"/>
                <w:sz w:val="24"/>
              </w:rPr>
              <w:t>5</w:t>
            </w:r>
          </w:p>
        </w:tc>
        <w:tc>
          <w:tcPr>
            <w:tcW w:w="1267" w:type="dxa"/>
            <w:vAlign w:val="center"/>
          </w:tcPr>
          <w:p>
            <w:pPr>
              <w:adjustRightInd w:val="0"/>
              <w:snapToGrid w:val="0"/>
              <w:jc w:val="left"/>
              <w:rPr>
                <w:rFonts w:hint="eastAsia" w:ascii="宋体" w:hAnsi="宋体" w:eastAsia="宋体" w:cs="Times New Roman"/>
                <w:color w:val="000000"/>
                <w:szCs w:val="21"/>
              </w:rPr>
            </w:pPr>
            <w:r>
              <w:rPr>
                <w:rFonts w:hint="eastAsia" w:ascii="宋体" w:hAnsi="宋体" w:cs="宋体"/>
                <w:kern w:val="0"/>
                <w:szCs w:val="21"/>
                <w:lang w:val="en-US" w:eastAsia="zh-CN"/>
              </w:rPr>
              <w:t>本地化服务</w:t>
            </w:r>
          </w:p>
        </w:tc>
        <w:tc>
          <w:tcPr>
            <w:tcW w:w="7079" w:type="dxa"/>
            <w:vAlign w:val="center"/>
          </w:tcPr>
          <w:p>
            <w:pPr>
              <w:adjustRightInd w:val="0"/>
              <w:snapToGrid w:val="0"/>
              <w:jc w:val="left"/>
              <w:rPr>
                <w:rFonts w:ascii="宋体" w:hAnsi="宋体" w:cs="宋体"/>
                <w:sz w:val="24"/>
              </w:rPr>
            </w:pPr>
            <w:r>
              <w:rPr>
                <w:rFonts w:hint="eastAsia" w:ascii="宋体" w:hAnsi="宋体" w:cs="宋体"/>
                <w:kern w:val="0"/>
                <w:szCs w:val="21"/>
                <w:lang w:val="en-US" w:eastAsia="zh-CN"/>
              </w:rPr>
              <w:t>投标人总部在佛山市内或佛山市内有分支服务点</w:t>
            </w:r>
          </w:p>
        </w:tc>
        <w:tc>
          <w:tcPr>
            <w:tcW w:w="901" w:type="dxa"/>
            <w:vAlign w:val="center"/>
          </w:tcPr>
          <w:p>
            <w:pPr>
              <w:pStyle w:val="173"/>
              <w:spacing w:before="46" w:beforeLines="15" w:after="46" w:afterLines="15"/>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8885" w:type="dxa"/>
            <w:gridSpan w:val="3"/>
            <w:vAlign w:val="center"/>
          </w:tcPr>
          <w:p>
            <w:pPr>
              <w:adjustRightInd w:val="0"/>
              <w:snapToGrid w:val="0"/>
              <w:jc w:val="center"/>
              <w:rPr>
                <w:rFonts w:ascii="宋体" w:hAnsi="宋体"/>
                <w:color w:val="000000"/>
                <w:sz w:val="24"/>
              </w:rPr>
            </w:pPr>
            <w:r>
              <w:rPr>
                <w:rFonts w:hint="eastAsia" w:ascii="宋体" w:hAnsi="宋体"/>
                <w:color w:val="000000"/>
                <w:sz w:val="24"/>
              </w:rPr>
              <w:t>合计</w:t>
            </w:r>
          </w:p>
        </w:tc>
        <w:tc>
          <w:tcPr>
            <w:tcW w:w="901" w:type="dxa"/>
            <w:vAlign w:val="center"/>
          </w:tcPr>
          <w:p>
            <w:pPr>
              <w:autoSpaceDE w:val="0"/>
              <w:autoSpaceDN w:val="0"/>
              <w:adjustRightInd w:val="0"/>
              <w:snapToGrid w:val="0"/>
              <w:jc w:val="center"/>
              <w:rPr>
                <w:rFonts w:ascii="宋体" w:hAnsi="宋体" w:cs="宋体"/>
                <w:b/>
                <w:bCs/>
                <w:color w:val="000000"/>
                <w:sz w:val="24"/>
              </w:rPr>
            </w:pPr>
            <w:r>
              <w:rPr>
                <w:rFonts w:hint="eastAsia" w:ascii="宋体" w:hAnsi="宋体" w:cs="宋体"/>
                <w:b/>
                <w:bCs/>
                <w:color w:val="000000"/>
                <w:sz w:val="24"/>
              </w:rPr>
              <w:t>4</w:t>
            </w:r>
            <w:r>
              <w:rPr>
                <w:rFonts w:hint="eastAsia" w:ascii="宋体" w:hAnsi="宋体" w:cs="宋体"/>
                <w:b/>
                <w:bCs/>
                <w:color w:val="000000"/>
                <w:sz w:val="24"/>
                <w:lang w:val="en-US" w:eastAsia="zh-CN"/>
              </w:rPr>
              <w:t>0</w:t>
            </w:r>
            <w:r>
              <w:rPr>
                <w:rFonts w:hint="eastAsia" w:ascii="宋体" w:hAnsi="宋体" w:cs="宋体"/>
                <w:b/>
                <w:bCs/>
                <w:color w:val="000000"/>
                <w:sz w:val="24"/>
              </w:rPr>
              <w:t>分</w:t>
            </w:r>
          </w:p>
        </w:tc>
      </w:tr>
    </w:tbl>
    <w:p>
      <w:pPr>
        <w:snapToGrid w:val="0"/>
        <w:rPr>
          <w:rFonts w:ascii="宋体" w:hAnsi="Arial"/>
          <w:b/>
          <w:color w:val="000000"/>
          <w:sz w:val="28"/>
          <w:szCs w:val="28"/>
        </w:rPr>
      </w:pPr>
    </w:p>
    <w:p>
      <w:pPr>
        <w:rPr>
          <w:rFonts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p>
    <w:p>
      <w:pPr>
        <w:rPr>
          <w:rFonts w:hint="eastAsia"/>
        </w:rPr>
      </w:pPr>
      <w:bookmarkStart w:id="127" w:name="_Toc3833"/>
    </w:p>
    <w:p>
      <w:pPr>
        <w:rPr>
          <w:rFonts w:hint="eastAsia"/>
        </w:rPr>
      </w:pPr>
    </w:p>
    <w:p>
      <w:pPr>
        <w:pStyle w:val="3"/>
        <w:rPr>
          <w:rFonts w:hint="eastAsia"/>
        </w:rPr>
      </w:pPr>
    </w:p>
    <w:p>
      <w:pPr>
        <w:rPr>
          <w:rFonts w:hint="eastAsia"/>
        </w:rPr>
      </w:pPr>
    </w:p>
    <w:p>
      <w:pPr>
        <w:rPr>
          <w:rFonts w:hint="eastAsia"/>
        </w:rPr>
      </w:pPr>
    </w:p>
    <w:p>
      <w:pPr>
        <w:rPr>
          <w:rFonts w:hint="eastAsia"/>
        </w:rPr>
      </w:pPr>
    </w:p>
    <w:p>
      <w:pPr>
        <w:rPr>
          <w:rFonts w:hint="eastAsia"/>
        </w:rPr>
      </w:pPr>
    </w:p>
    <w:p>
      <w:pPr>
        <w:snapToGrid w:val="0"/>
        <w:jc w:val="center"/>
        <w:rPr>
          <w:rFonts w:hint="eastAsia" w:ascii="宋体" w:hAnsi="Arial" w:eastAsia="宋体" w:cs="Times New Roman"/>
          <w:b/>
          <w:color w:val="000000"/>
          <w:sz w:val="28"/>
          <w:szCs w:val="28"/>
        </w:rPr>
      </w:pPr>
      <w:r>
        <w:rPr>
          <w:rFonts w:hint="eastAsia" w:ascii="宋体" w:hAnsi="Arial" w:eastAsia="宋体" w:cs="Times New Roman"/>
          <w:b/>
          <w:color w:val="000000"/>
          <w:sz w:val="28"/>
          <w:szCs w:val="28"/>
        </w:rPr>
        <w:t>第五部分  合同格式及主要条款</w:t>
      </w:r>
      <w:bookmarkEnd w:id="127"/>
    </w:p>
    <w:p>
      <w:pPr>
        <w:adjustRightInd w:val="0"/>
        <w:snapToGrid w:val="0"/>
        <w:spacing w:line="480" w:lineRule="exact"/>
        <w:ind w:right="360"/>
        <w:jc w:val="center"/>
        <w:rPr>
          <w:rFonts w:ascii="宋体" w:hAnsi="宋体"/>
          <w:color w:val="000000"/>
          <w:sz w:val="23"/>
          <w:szCs w:val="23"/>
          <w:u w:val="double"/>
        </w:rPr>
      </w:pPr>
      <w:r>
        <w:rPr>
          <w:rFonts w:hint="eastAsia" w:ascii="宋体" w:hAnsi="宋体"/>
          <w:bCs/>
          <w:color w:val="000000"/>
          <w:sz w:val="23"/>
          <w:szCs w:val="23"/>
          <w:u w:val="double"/>
        </w:rPr>
        <w:t>本合同格式仅供参考，具体条款及内容以双方最终协商一致的为准</w:t>
      </w:r>
    </w:p>
    <w:p>
      <w:pPr>
        <w:spacing w:line="0" w:lineRule="atLeast"/>
        <w:ind w:left="-2" w:leftChars="-1" w:firstLine="460" w:firstLineChars="200"/>
        <w:rPr>
          <w:rFonts w:ascii="宋体" w:hAnsi="宋体"/>
          <w:color w:val="000000"/>
          <w:sz w:val="23"/>
          <w:szCs w:val="23"/>
        </w:rPr>
      </w:pPr>
    </w:p>
    <w:p>
      <w:pPr>
        <w:numPr>
          <w:ilvl w:val="0"/>
          <w:numId w:val="10"/>
        </w:numPr>
        <w:rPr>
          <w:rFonts w:ascii="宋体" w:hAnsi="宋体"/>
          <w:color w:val="000000"/>
          <w:sz w:val="23"/>
          <w:szCs w:val="23"/>
        </w:rPr>
      </w:pPr>
      <w:r>
        <w:rPr>
          <w:rFonts w:hint="eastAsia" w:ascii="宋体" w:hAnsi="宋体"/>
          <w:bCs/>
          <w:color w:val="000000"/>
          <w:sz w:val="23"/>
          <w:szCs w:val="23"/>
        </w:rPr>
        <w:t>组成合同的文件</w:t>
      </w:r>
    </w:p>
    <w:p>
      <w:pPr>
        <w:numPr>
          <w:ilvl w:val="0"/>
          <w:numId w:val="11"/>
        </w:numPr>
        <w:rPr>
          <w:rFonts w:ascii="宋体" w:hAnsi="宋体"/>
          <w:color w:val="000000"/>
          <w:sz w:val="23"/>
          <w:szCs w:val="23"/>
        </w:rPr>
      </w:pPr>
      <w:r>
        <w:rPr>
          <w:rFonts w:hint="eastAsia" w:ascii="宋体" w:hAnsi="宋体"/>
          <w:color w:val="000000"/>
          <w:sz w:val="23"/>
          <w:szCs w:val="23"/>
        </w:rPr>
        <w:t>本合同协议书。</w:t>
      </w:r>
    </w:p>
    <w:p>
      <w:pPr>
        <w:numPr>
          <w:ilvl w:val="0"/>
          <w:numId w:val="11"/>
        </w:numPr>
        <w:rPr>
          <w:rFonts w:ascii="宋体" w:hAnsi="宋体"/>
          <w:color w:val="000000"/>
          <w:sz w:val="23"/>
          <w:szCs w:val="23"/>
        </w:rPr>
      </w:pPr>
      <w:r>
        <w:rPr>
          <w:rFonts w:hint="eastAsia" w:ascii="宋体" w:hAnsi="宋体"/>
          <w:color w:val="000000"/>
          <w:sz w:val="23"/>
          <w:szCs w:val="23"/>
        </w:rPr>
        <w:t>中标通知书。</w:t>
      </w:r>
    </w:p>
    <w:p>
      <w:pPr>
        <w:numPr>
          <w:ilvl w:val="0"/>
          <w:numId w:val="11"/>
        </w:numPr>
        <w:rPr>
          <w:rFonts w:ascii="宋体" w:hAnsi="宋体"/>
          <w:color w:val="000000"/>
          <w:sz w:val="23"/>
          <w:szCs w:val="23"/>
        </w:rPr>
      </w:pPr>
      <w:r>
        <w:rPr>
          <w:rFonts w:hint="eastAsia" w:ascii="宋体" w:hAnsi="宋体"/>
          <w:color w:val="000000"/>
          <w:sz w:val="23"/>
          <w:szCs w:val="23"/>
        </w:rPr>
        <w:t>投标函及其附件。</w:t>
      </w:r>
    </w:p>
    <w:p>
      <w:pPr>
        <w:numPr>
          <w:ilvl w:val="0"/>
          <w:numId w:val="11"/>
        </w:numPr>
        <w:rPr>
          <w:rFonts w:ascii="宋体" w:hAnsi="宋体"/>
          <w:color w:val="000000"/>
          <w:sz w:val="23"/>
          <w:szCs w:val="23"/>
        </w:rPr>
      </w:pPr>
      <w:r>
        <w:rPr>
          <w:rFonts w:hint="eastAsia" w:ascii="宋体" w:hAnsi="宋体"/>
          <w:color w:val="000000"/>
          <w:sz w:val="23"/>
          <w:szCs w:val="23"/>
        </w:rPr>
        <w:t>招标文件。</w:t>
      </w:r>
    </w:p>
    <w:p>
      <w:pPr>
        <w:numPr>
          <w:ilvl w:val="0"/>
          <w:numId w:val="11"/>
        </w:numPr>
        <w:rPr>
          <w:rFonts w:ascii="宋体" w:hAnsi="宋体"/>
          <w:color w:val="000000"/>
          <w:sz w:val="23"/>
          <w:szCs w:val="23"/>
        </w:rPr>
      </w:pPr>
      <w:r>
        <w:rPr>
          <w:rFonts w:hint="eastAsia" w:ascii="宋体" w:hAnsi="宋体"/>
          <w:color w:val="000000"/>
          <w:sz w:val="23"/>
          <w:szCs w:val="23"/>
        </w:rPr>
        <w:t>标准、规范及有关文件。</w:t>
      </w:r>
    </w:p>
    <w:p>
      <w:pPr>
        <w:ind w:firstLine="460" w:firstLineChars="200"/>
        <w:rPr>
          <w:rFonts w:ascii="宋体" w:hAnsi="宋体"/>
          <w:color w:val="000000"/>
          <w:sz w:val="23"/>
          <w:szCs w:val="23"/>
        </w:rPr>
      </w:pPr>
      <w:r>
        <w:rPr>
          <w:rFonts w:hint="eastAsia" w:ascii="宋体" w:hAnsi="宋体"/>
          <w:color w:val="000000"/>
          <w:sz w:val="23"/>
          <w:szCs w:val="23"/>
        </w:rPr>
        <w:t>上述所指合同文件应认为是互相补充和解释的，若彼此内容存在矛盾，应以合同及事后的书面补充协议为准。</w:t>
      </w:r>
    </w:p>
    <w:p>
      <w:pPr>
        <w:numPr>
          <w:ilvl w:val="0"/>
          <w:numId w:val="10"/>
        </w:numPr>
        <w:rPr>
          <w:rFonts w:ascii="宋体" w:hAnsi="宋体"/>
          <w:color w:val="000000"/>
          <w:sz w:val="23"/>
          <w:szCs w:val="23"/>
        </w:rPr>
      </w:pPr>
      <w:r>
        <w:rPr>
          <w:rFonts w:hint="eastAsia" w:ascii="宋体" w:hAnsi="宋体"/>
          <w:color w:val="000000"/>
          <w:sz w:val="23"/>
          <w:szCs w:val="23"/>
        </w:rPr>
        <w:t>合同标的</w:t>
      </w:r>
    </w:p>
    <w:p>
      <w:pPr>
        <w:numPr>
          <w:ilvl w:val="0"/>
          <w:numId w:val="12"/>
        </w:numPr>
        <w:rPr>
          <w:rFonts w:ascii="宋体" w:hAnsi="宋体"/>
          <w:color w:val="000000"/>
          <w:sz w:val="23"/>
          <w:szCs w:val="23"/>
        </w:rPr>
      </w:pPr>
      <w:r>
        <w:rPr>
          <w:rFonts w:hint="eastAsia" w:ascii="宋体" w:hAnsi="宋体"/>
          <w:color w:val="000000"/>
          <w:sz w:val="23"/>
          <w:szCs w:val="23"/>
        </w:rPr>
        <w:t>合同总价：</w:t>
      </w:r>
    </w:p>
    <w:p>
      <w:pPr>
        <w:ind w:firstLine="575" w:firstLineChars="250"/>
        <w:rPr>
          <w:rFonts w:ascii="宋体" w:hAnsi="宋体"/>
          <w:color w:val="000000"/>
          <w:sz w:val="23"/>
          <w:szCs w:val="23"/>
        </w:rPr>
      </w:pPr>
      <w:r>
        <w:rPr>
          <w:rFonts w:hint="eastAsia" w:ascii="宋体" w:hAnsi="宋体"/>
          <w:color w:val="000000"/>
          <w:sz w:val="23"/>
          <w:szCs w:val="23"/>
        </w:rPr>
        <w:t>人民币（大写）（￥）。</w:t>
      </w:r>
    </w:p>
    <w:p>
      <w:pPr>
        <w:numPr>
          <w:ilvl w:val="0"/>
          <w:numId w:val="12"/>
        </w:numPr>
        <w:rPr>
          <w:rFonts w:ascii="宋体" w:hAnsi="宋体"/>
          <w:color w:val="000000"/>
          <w:sz w:val="23"/>
          <w:szCs w:val="23"/>
        </w:rPr>
      </w:pPr>
      <w:r>
        <w:rPr>
          <w:rFonts w:hint="eastAsia" w:ascii="宋体" w:hAnsi="宋体"/>
          <w:color w:val="000000"/>
          <w:sz w:val="23"/>
          <w:szCs w:val="23"/>
        </w:rPr>
        <w:t>合同总价包括了全部含税费用。</w:t>
      </w:r>
    </w:p>
    <w:p>
      <w:pPr>
        <w:numPr>
          <w:ilvl w:val="0"/>
          <w:numId w:val="12"/>
        </w:numPr>
        <w:rPr>
          <w:rFonts w:ascii="宋体" w:hAnsi="宋体"/>
          <w:color w:val="000000"/>
          <w:sz w:val="23"/>
          <w:szCs w:val="23"/>
        </w:rPr>
      </w:pPr>
      <w:r>
        <w:rPr>
          <w:rFonts w:hint="eastAsia" w:ascii="宋体" w:hAnsi="宋体"/>
          <w:color w:val="000000"/>
          <w:sz w:val="23"/>
          <w:szCs w:val="23"/>
        </w:rPr>
        <w:t>价格明细清单（见合同附件一）。</w:t>
      </w:r>
    </w:p>
    <w:p>
      <w:pPr>
        <w:numPr>
          <w:ilvl w:val="0"/>
          <w:numId w:val="12"/>
        </w:numPr>
        <w:rPr>
          <w:rFonts w:ascii="宋体" w:hAnsi="宋体"/>
          <w:color w:val="000000"/>
          <w:sz w:val="23"/>
          <w:szCs w:val="23"/>
        </w:rPr>
      </w:pPr>
      <w:r>
        <w:rPr>
          <w:rFonts w:hint="eastAsia" w:ascii="宋体" w:hAnsi="宋体"/>
          <w:color w:val="000000"/>
          <w:sz w:val="23"/>
          <w:szCs w:val="23"/>
        </w:rPr>
        <w:t>标的数量、服务内容等文件（见合同附件二）。</w:t>
      </w:r>
    </w:p>
    <w:p>
      <w:pPr>
        <w:numPr>
          <w:ilvl w:val="0"/>
          <w:numId w:val="12"/>
        </w:numPr>
        <w:rPr>
          <w:rFonts w:ascii="宋体" w:hAnsi="宋体"/>
          <w:color w:val="000000"/>
          <w:sz w:val="23"/>
          <w:szCs w:val="23"/>
        </w:rPr>
      </w:pPr>
      <w:r>
        <w:rPr>
          <w:rFonts w:hint="eastAsia" w:ascii="宋体" w:hAnsi="宋体"/>
          <w:color w:val="000000"/>
          <w:sz w:val="23"/>
          <w:szCs w:val="23"/>
        </w:rPr>
        <w:t>其它约定：。</w:t>
      </w:r>
    </w:p>
    <w:p>
      <w:pPr>
        <w:numPr>
          <w:ilvl w:val="0"/>
          <w:numId w:val="10"/>
        </w:numPr>
        <w:rPr>
          <w:rFonts w:ascii="宋体" w:hAnsi="宋体"/>
          <w:color w:val="000000"/>
          <w:sz w:val="23"/>
          <w:szCs w:val="23"/>
        </w:rPr>
      </w:pPr>
      <w:r>
        <w:rPr>
          <w:rFonts w:hint="eastAsia" w:ascii="宋体" w:hAnsi="宋体"/>
          <w:color w:val="000000"/>
          <w:sz w:val="23"/>
          <w:szCs w:val="23"/>
        </w:rPr>
        <w:t>结算方式</w:t>
      </w:r>
    </w:p>
    <w:p>
      <w:pPr>
        <w:numPr>
          <w:ilvl w:val="0"/>
          <w:numId w:val="13"/>
        </w:numPr>
        <w:rPr>
          <w:rFonts w:ascii="宋体" w:hAnsi="宋体"/>
          <w:color w:val="000000"/>
          <w:sz w:val="23"/>
          <w:szCs w:val="23"/>
        </w:rPr>
      </w:pPr>
      <w:r>
        <w:rPr>
          <w:rFonts w:hint="eastAsia" w:ascii="宋体" w:hAnsi="宋体"/>
          <w:color w:val="000000"/>
          <w:sz w:val="23"/>
          <w:szCs w:val="23"/>
        </w:rPr>
        <w:t>本合同价格为单价固定不变价。</w:t>
      </w:r>
    </w:p>
    <w:p>
      <w:pPr>
        <w:numPr>
          <w:ilvl w:val="0"/>
          <w:numId w:val="13"/>
        </w:numPr>
        <w:rPr>
          <w:rFonts w:ascii="宋体" w:hAnsi="宋体"/>
          <w:color w:val="000000"/>
          <w:sz w:val="23"/>
          <w:szCs w:val="23"/>
        </w:rPr>
      </w:pPr>
      <w:r>
        <w:rPr>
          <w:rFonts w:hint="eastAsia" w:ascii="宋体" w:hAnsi="宋体"/>
          <w:color w:val="000000"/>
          <w:sz w:val="23"/>
          <w:szCs w:val="23"/>
        </w:rPr>
        <w:t>本合同价格为总价固定不变价。</w:t>
      </w:r>
    </w:p>
    <w:p>
      <w:pPr>
        <w:numPr>
          <w:ilvl w:val="0"/>
          <w:numId w:val="13"/>
        </w:numPr>
        <w:rPr>
          <w:rFonts w:ascii="宋体" w:hAnsi="宋体"/>
          <w:color w:val="000000"/>
          <w:sz w:val="23"/>
          <w:szCs w:val="23"/>
        </w:rPr>
      </w:pPr>
      <w:r>
        <w:rPr>
          <w:rFonts w:hint="eastAsia" w:ascii="宋体" w:hAnsi="宋体"/>
          <w:color w:val="000000"/>
          <w:sz w:val="23"/>
          <w:szCs w:val="23"/>
        </w:rPr>
        <w:t>本合同价格为按实结算。</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w:t>
      </w:r>
    </w:p>
    <w:p>
      <w:pPr>
        <w:numPr>
          <w:ilvl w:val="0"/>
          <w:numId w:val="10"/>
        </w:numPr>
        <w:rPr>
          <w:rFonts w:ascii="宋体" w:hAnsi="宋体"/>
          <w:color w:val="000000"/>
          <w:sz w:val="23"/>
          <w:szCs w:val="23"/>
        </w:rPr>
      </w:pPr>
      <w:r>
        <w:rPr>
          <w:rFonts w:hint="eastAsia" w:ascii="宋体" w:hAnsi="宋体"/>
          <w:color w:val="000000"/>
          <w:sz w:val="23"/>
          <w:szCs w:val="23"/>
        </w:rPr>
        <w:t>付款方式</w:t>
      </w:r>
    </w:p>
    <w:p>
      <w:pPr>
        <w:numPr>
          <w:ilvl w:val="0"/>
          <w:numId w:val="14"/>
        </w:numPr>
        <w:rPr>
          <w:rFonts w:ascii="宋体" w:hAnsi="宋体"/>
          <w:color w:val="000000"/>
          <w:sz w:val="23"/>
          <w:szCs w:val="23"/>
        </w:rPr>
      </w:pPr>
      <w:r>
        <w:rPr>
          <w:rFonts w:hint="eastAsia" w:ascii="宋体" w:hAnsi="宋体"/>
          <w:color w:val="000000"/>
          <w:sz w:val="23"/>
          <w:szCs w:val="23"/>
        </w:rPr>
        <w:t>一次性付款。</w:t>
      </w:r>
    </w:p>
    <w:p>
      <w:pPr>
        <w:numPr>
          <w:ilvl w:val="0"/>
          <w:numId w:val="14"/>
        </w:numPr>
        <w:rPr>
          <w:rFonts w:ascii="宋体" w:hAnsi="宋体"/>
          <w:color w:val="000000"/>
          <w:sz w:val="23"/>
          <w:szCs w:val="23"/>
        </w:rPr>
      </w:pPr>
      <w:r>
        <w:rPr>
          <w:rFonts w:hint="eastAsia" w:ascii="宋体" w:hAnsi="宋体"/>
          <w:color w:val="000000"/>
          <w:sz w:val="23"/>
          <w:szCs w:val="23"/>
        </w:rPr>
        <w:t>分期付款： 。</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以上方式只能选定一种，选择“分期付款”的应明确每期付款的条件和时间，并要求出具有效发票和支付凭证，一般</w:t>
      </w:r>
      <w:r>
        <w:rPr>
          <w:rFonts w:hint="eastAsia" w:ascii="宋体" w:hAnsi="宋体"/>
          <w:bCs/>
          <w:color w:val="000000"/>
          <w:sz w:val="23"/>
          <w:szCs w:val="23"/>
        </w:rPr>
        <w:t>以支票或汇票的形式支付</w:t>
      </w:r>
      <w:r>
        <w:rPr>
          <w:rFonts w:hint="eastAsia" w:ascii="宋体" w:hAnsi="宋体"/>
          <w:color w:val="000000"/>
          <w:sz w:val="23"/>
          <w:szCs w:val="23"/>
        </w:rPr>
        <w:t>。</w:t>
      </w:r>
    </w:p>
    <w:p>
      <w:pPr>
        <w:numPr>
          <w:ilvl w:val="0"/>
          <w:numId w:val="10"/>
        </w:numPr>
        <w:rPr>
          <w:rFonts w:ascii="宋体" w:hAnsi="宋体"/>
          <w:color w:val="000000"/>
          <w:sz w:val="23"/>
          <w:szCs w:val="23"/>
        </w:rPr>
      </w:pPr>
      <w:r>
        <w:rPr>
          <w:rFonts w:hint="eastAsia" w:ascii="宋体" w:hAnsi="宋体"/>
          <w:bCs/>
          <w:color w:val="000000"/>
          <w:sz w:val="23"/>
          <w:szCs w:val="23"/>
        </w:rPr>
        <w:t>履约要求</w:t>
      </w:r>
    </w:p>
    <w:p>
      <w:pPr>
        <w:numPr>
          <w:ilvl w:val="0"/>
          <w:numId w:val="15"/>
        </w:numPr>
        <w:rPr>
          <w:rFonts w:ascii="宋体" w:hAnsi="宋体"/>
          <w:color w:val="000000"/>
          <w:sz w:val="23"/>
          <w:szCs w:val="23"/>
        </w:rPr>
      </w:pPr>
      <w:r>
        <w:rPr>
          <w:rFonts w:hint="eastAsia" w:ascii="宋体" w:hAnsi="宋体"/>
          <w:bCs/>
          <w:color w:val="000000"/>
          <w:sz w:val="23"/>
          <w:szCs w:val="23"/>
        </w:rPr>
        <w:t>时间：</w:t>
      </w:r>
      <w:r>
        <w:rPr>
          <w:rFonts w:hint="eastAsia" w:ascii="宋体" w:hAnsi="宋体"/>
          <w:color w:val="000000"/>
          <w:sz w:val="23"/>
          <w:szCs w:val="23"/>
        </w:rPr>
        <w:t>。</w:t>
      </w:r>
    </w:p>
    <w:p>
      <w:pPr>
        <w:numPr>
          <w:ilvl w:val="0"/>
          <w:numId w:val="15"/>
        </w:numPr>
        <w:rPr>
          <w:rFonts w:ascii="宋体" w:hAnsi="宋体"/>
          <w:color w:val="000000"/>
          <w:sz w:val="23"/>
          <w:szCs w:val="23"/>
        </w:rPr>
      </w:pPr>
      <w:r>
        <w:rPr>
          <w:rFonts w:hint="eastAsia" w:ascii="宋体" w:hAnsi="宋体"/>
          <w:bCs/>
          <w:color w:val="000000"/>
          <w:sz w:val="23"/>
          <w:szCs w:val="23"/>
        </w:rPr>
        <w:t>地点：</w:t>
      </w:r>
      <w:r>
        <w:rPr>
          <w:rFonts w:hint="eastAsia" w:ascii="宋体" w:hAnsi="宋体"/>
          <w:color w:val="000000"/>
          <w:sz w:val="23"/>
          <w:szCs w:val="23"/>
        </w:rPr>
        <w:t>。</w:t>
      </w:r>
    </w:p>
    <w:p>
      <w:pPr>
        <w:numPr>
          <w:ilvl w:val="0"/>
          <w:numId w:val="15"/>
        </w:numPr>
        <w:rPr>
          <w:rFonts w:ascii="宋体" w:hAnsi="宋体"/>
          <w:color w:val="000000"/>
          <w:sz w:val="23"/>
          <w:szCs w:val="23"/>
        </w:rPr>
      </w:pPr>
      <w:r>
        <w:rPr>
          <w:rFonts w:hint="eastAsia" w:ascii="宋体" w:hAnsi="宋体"/>
          <w:color w:val="000000"/>
          <w:sz w:val="23"/>
          <w:szCs w:val="23"/>
        </w:rPr>
        <w:t>质量要求：。</w:t>
      </w:r>
    </w:p>
    <w:p>
      <w:pPr>
        <w:numPr>
          <w:ilvl w:val="0"/>
          <w:numId w:val="15"/>
        </w:numPr>
        <w:rPr>
          <w:rFonts w:ascii="宋体" w:hAnsi="宋体"/>
          <w:color w:val="000000"/>
          <w:sz w:val="23"/>
          <w:szCs w:val="23"/>
        </w:rPr>
      </w:pPr>
      <w:r>
        <w:rPr>
          <w:rFonts w:hint="eastAsia" w:ascii="宋体" w:hAnsi="宋体"/>
          <w:color w:val="000000"/>
          <w:sz w:val="23"/>
          <w:szCs w:val="23"/>
        </w:rPr>
        <w:t>验收标准：。</w:t>
      </w:r>
    </w:p>
    <w:p>
      <w:pPr>
        <w:numPr>
          <w:ilvl w:val="0"/>
          <w:numId w:val="15"/>
        </w:numPr>
        <w:rPr>
          <w:rFonts w:ascii="宋体" w:hAnsi="宋体"/>
          <w:color w:val="000000"/>
          <w:sz w:val="23"/>
          <w:szCs w:val="23"/>
        </w:rPr>
      </w:pPr>
      <w:r>
        <w:rPr>
          <w:rFonts w:hint="eastAsia" w:ascii="宋体" w:hAnsi="宋体"/>
          <w:color w:val="000000"/>
          <w:sz w:val="23"/>
          <w:szCs w:val="23"/>
        </w:rPr>
        <w:t>双方的其它约定：。</w:t>
      </w:r>
    </w:p>
    <w:p>
      <w:pPr>
        <w:numPr>
          <w:ilvl w:val="0"/>
          <w:numId w:val="10"/>
        </w:numPr>
        <w:rPr>
          <w:rFonts w:ascii="宋体" w:hAnsi="宋体"/>
          <w:color w:val="000000"/>
          <w:sz w:val="23"/>
          <w:szCs w:val="23"/>
        </w:rPr>
      </w:pPr>
      <w:r>
        <w:rPr>
          <w:rFonts w:hint="eastAsia" w:ascii="宋体" w:hAnsi="宋体"/>
          <w:bCs/>
          <w:color w:val="000000"/>
          <w:sz w:val="23"/>
          <w:szCs w:val="23"/>
        </w:rPr>
        <w:t>履约保证金</w:t>
      </w:r>
    </w:p>
    <w:p>
      <w:pPr>
        <w:numPr>
          <w:ilvl w:val="0"/>
          <w:numId w:val="16"/>
        </w:numPr>
        <w:rPr>
          <w:rFonts w:ascii="宋体" w:hAnsi="宋体"/>
          <w:color w:val="000000"/>
          <w:sz w:val="23"/>
          <w:szCs w:val="23"/>
        </w:rPr>
      </w:pPr>
      <w:r>
        <w:rPr>
          <w:rFonts w:hint="eastAsia" w:ascii="宋体" w:hAnsi="宋体"/>
          <w:color w:val="000000"/>
          <w:sz w:val="23"/>
          <w:szCs w:val="23"/>
        </w:rPr>
        <w:t>金额：。</w:t>
      </w:r>
    </w:p>
    <w:p>
      <w:pPr>
        <w:numPr>
          <w:ilvl w:val="0"/>
          <w:numId w:val="16"/>
        </w:numPr>
        <w:rPr>
          <w:rFonts w:ascii="宋体" w:hAnsi="宋体"/>
          <w:color w:val="000000"/>
          <w:sz w:val="23"/>
          <w:szCs w:val="23"/>
        </w:rPr>
      </w:pPr>
      <w:r>
        <w:rPr>
          <w:rFonts w:hint="eastAsia" w:ascii="宋体" w:hAnsi="宋体"/>
          <w:color w:val="000000"/>
          <w:sz w:val="23"/>
          <w:szCs w:val="23"/>
        </w:rPr>
        <w:t>交纳方式：。</w:t>
      </w:r>
    </w:p>
    <w:p>
      <w:pPr>
        <w:numPr>
          <w:ilvl w:val="0"/>
          <w:numId w:val="16"/>
        </w:numPr>
        <w:rPr>
          <w:rFonts w:ascii="宋体" w:hAnsi="宋体"/>
          <w:color w:val="000000"/>
          <w:sz w:val="23"/>
          <w:szCs w:val="23"/>
        </w:rPr>
      </w:pPr>
      <w:r>
        <w:rPr>
          <w:rFonts w:hint="eastAsia" w:ascii="宋体" w:hAnsi="宋体"/>
          <w:color w:val="000000"/>
          <w:sz w:val="23"/>
          <w:szCs w:val="23"/>
        </w:rPr>
        <w:t>用途：。</w:t>
      </w:r>
    </w:p>
    <w:p>
      <w:pPr>
        <w:numPr>
          <w:ilvl w:val="0"/>
          <w:numId w:val="16"/>
        </w:numPr>
        <w:rPr>
          <w:rFonts w:ascii="宋体" w:hAnsi="宋体"/>
          <w:color w:val="000000"/>
          <w:sz w:val="23"/>
          <w:szCs w:val="23"/>
        </w:rPr>
      </w:pPr>
      <w:r>
        <w:rPr>
          <w:rFonts w:hint="eastAsia" w:ascii="宋体" w:hAnsi="宋体"/>
          <w:color w:val="000000"/>
          <w:sz w:val="23"/>
          <w:szCs w:val="23"/>
        </w:rPr>
        <w:t>退回条件：。</w:t>
      </w:r>
    </w:p>
    <w:p>
      <w:pPr>
        <w:numPr>
          <w:ilvl w:val="0"/>
          <w:numId w:val="10"/>
        </w:numPr>
        <w:rPr>
          <w:rFonts w:ascii="宋体" w:hAnsi="宋体"/>
          <w:color w:val="000000"/>
          <w:sz w:val="23"/>
          <w:szCs w:val="23"/>
        </w:rPr>
      </w:pPr>
      <w:r>
        <w:rPr>
          <w:rFonts w:hint="eastAsia" w:ascii="宋体" w:hAnsi="宋体"/>
          <w:color w:val="000000"/>
          <w:sz w:val="23"/>
          <w:szCs w:val="23"/>
        </w:rPr>
        <w:t>甲方的权利与义务</w:t>
      </w:r>
    </w:p>
    <w:p>
      <w:pPr>
        <w:numPr>
          <w:ilvl w:val="0"/>
          <w:numId w:val="17"/>
        </w:numPr>
        <w:rPr>
          <w:rFonts w:ascii="宋体" w:hAnsi="宋体"/>
          <w:color w:val="000000"/>
          <w:sz w:val="23"/>
          <w:szCs w:val="23"/>
        </w:rPr>
      </w:pPr>
      <w:r>
        <w:rPr>
          <w:rFonts w:hint="eastAsia" w:ascii="宋体" w:hAnsi="宋体"/>
          <w:color w:val="000000"/>
          <w:sz w:val="23"/>
          <w:szCs w:val="23"/>
        </w:rPr>
        <w:t>双方的约定：。</w:t>
      </w:r>
    </w:p>
    <w:p>
      <w:pPr>
        <w:numPr>
          <w:ilvl w:val="0"/>
          <w:numId w:val="17"/>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0"/>
        </w:numPr>
        <w:rPr>
          <w:rFonts w:ascii="宋体" w:hAnsi="宋体"/>
          <w:color w:val="000000"/>
          <w:sz w:val="23"/>
          <w:szCs w:val="23"/>
        </w:rPr>
      </w:pPr>
      <w:r>
        <w:rPr>
          <w:rFonts w:hint="eastAsia" w:ascii="宋体" w:hAnsi="宋体"/>
          <w:color w:val="000000"/>
          <w:sz w:val="23"/>
          <w:szCs w:val="23"/>
        </w:rPr>
        <w:t>乙方的权利与义务</w:t>
      </w:r>
    </w:p>
    <w:p>
      <w:pPr>
        <w:numPr>
          <w:ilvl w:val="0"/>
          <w:numId w:val="18"/>
        </w:numPr>
        <w:rPr>
          <w:rFonts w:ascii="宋体" w:hAnsi="宋体"/>
          <w:color w:val="000000"/>
          <w:sz w:val="23"/>
          <w:szCs w:val="23"/>
        </w:rPr>
      </w:pPr>
      <w:r>
        <w:rPr>
          <w:rFonts w:hint="eastAsia" w:ascii="宋体" w:hAnsi="宋体"/>
          <w:color w:val="000000"/>
          <w:sz w:val="23"/>
          <w:szCs w:val="23"/>
        </w:rPr>
        <w:t>双方的约定：。</w:t>
      </w:r>
    </w:p>
    <w:p>
      <w:pPr>
        <w:numPr>
          <w:ilvl w:val="0"/>
          <w:numId w:val="18"/>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0"/>
        </w:numPr>
        <w:rPr>
          <w:rFonts w:ascii="宋体" w:hAnsi="宋体"/>
          <w:color w:val="000000"/>
          <w:sz w:val="23"/>
          <w:szCs w:val="23"/>
        </w:rPr>
      </w:pPr>
      <w:r>
        <w:rPr>
          <w:rFonts w:hint="eastAsia" w:ascii="宋体" w:hAnsi="宋体"/>
          <w:color w:val="000000"/>
          <w:sz w:val="23"/>
          <w:szCs w:val="23"/>
        </w:rPr>
        <w:t>违约处罚</w:t>
      </w:r>
    </w:p>
    <w:p>
      <w:pPr>
        <w:numPr>
          <w:ilvl w:val="0"/>
          <w:numId w:val="19"/>
        </w:numPr>
        <w:rPr>
          <w:rFonts w:ascii="宋体" w:hAnsi="宋体"/>
          <w:color w:val="000000"/>
          <w:sz w:val="23"/>
          <w:szCs w:val="23"/>
        </w:rPr>
      </w:pPr>
      <w:r>
        <w:rPr>
          <w:rFonts w:hint="eastAsia" w:ascii="宋体" w:hAnsi="宋体"/>
          <w:color w:val="000000"/>
          <w:sz w:val="23"/>
          <w:szCs w:val="23"/>
        </w:rPr>
        <w:t>双方的约定：。</w:t>
      </w:r>
    </w:p>
    <w:p>
      <w:pPr>
        <w:numPr>
          <w:ilvl w:val="0"/>
          <w:numId w:val="10"/>
        </w:numPr>
        <w:rPr>
          <w:rFonts w:ascii="宋体" w:hAnsi="宋体"/>
          <w:color w:val="000000"/>
          <w:sz w:val="23"/>
          <w:szCs w:val="23"/>
        </w:rPr>
      </w:pPr>
      <w:r>
        <w:rPr>
          <w:rFonts w:hint="eastAsia" w:ascii="宋体" w:hAnsi="宋体"/>
          <w:color w:val="000000"/>
          <w:sz w:val="23"/>
          <w:szCs w:val="23"/>
        </w:rPr>
        <w:t>免责条款</w:t>
      </w:r>
    </w:p>
    <w:p>
      <w:pPr>
        <w:numPr>
          <w:ilvl w:val="0"/>
          <w:numId w:val="20"/>
        </w:numPr>
        <w:rPr>
          <w:rFonts w:ascii="宋体" w:hAnsi="宋体"/>
          <w:color w:val="000000"/>
          <w:sz w:val="23"/>
          <w:szCs w:val="23"/>
        </w:rPr>
      </w:pPr>
      <w:r>
        <w:rPr>
          <w:rFonts w:hint="eastAsia" w:ascii="宋体" w:hAnsi="宋体"/>
          <w:color w:val="000000"/>
          <w:sz w:val="23"/>
          <w:szCs w:val="23"/>
        </w:rPr>
        <w:t>凡若因国家政策调整或者法律法规变更、因发生严重自然灾害、战争或其他不能预见、不能避免的不可抗力原因，导致无法继续履行本合同的，双方互不承担违约责任。</w:t>
      </w:r>
    </w:p>
    <w:p>
      <w:pPr>
        <w:numPr>
          <w:ilvl w:val="0"/>
          <w:numId w:val="20"/>
        </w:numPr>
        <w:rPr>
          <w:rFonts w:ascii="宋体" w:hAnsi="宋体"/>
          <w:color w:val="000000"/>
          <w:sz w:val="23"/>
          <w:szCs w:val="23"/>
        </w:rPr>
      </w:pPr>
      <w:r>
        <w:rPr>
          <w:rFonts w:hint="eastAsia" w:ascii="宋体" w:hAnsi="宋体"/>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0"/>
        </w:numPr>
        <w:rPr>
          <w:rFonts w:ascii="宋体" w:hAnsi="宋体"/>
          <w:color w:val="000000"/>
          <w:sz w:val="23"/>
          <w:szCs w:val="23"/>
        </w:rPr>
      </w:pPr>
      <w:r>
        <w:rPr>
          <w:rFonts w:hint="eastAsia" w:ascii="宋体" w:hAnsi="宋体"/>
          <w:color w:val="000000"/>
          <w:sz w:val="23"/>
          <w:szCs w:val="23"/>
        </w:rPr>
        <w:t>双方的其它约定：。</w:t>
      </w:r>
    </w:p>
    <w:p>
      <w:pPr>
        <w:numPr>
          <w:ilvl w:val="0"/>
          <w:numId w:val="10"/>
        </w:numPr>
        <w:rPr>
          <w:rFonts w:ascii="宋体" w:hAnsi="宋体"/>
          <w:color w:val="000000"/>
          <w:sz w:val="23"/>
          <w:szCs w:val="23"/>
        </w:rPr>
      </w:pPr>
      <w:r>
        <w:rPr>
          <w:rFonts w:hint="eastAsia" w:ascii="宋体" w:hAnsi="宋体"/>
          <w:color w:val="000000"/>
          <w:sz w:val="23"/>
          <w:szCs w:val="23"/>
        </w:rPr>
        <w:t>争议的解决</w:t>
      </w:r>
    </w:p>
    <w:p>
      <w:pPr>
        <w:numPr>
          <w:ilvl w:val="0"/>
          <w:numId w:val="21"/>
        </w:numPr>
        <w:rPr>
          <w:rFonts w:ascii="宋体" w:hAnsi="宋体"/>
          <w:color w:val="000000"/>
          <w:sz w:val="23"/>
          <w:szCs w:val="23"/>
        </w:rPr>
      </w:pPr>
      <w:r>
        <w:rPr>
          <w:rFonts w:hint="eastAsia" w:ascii="宋体" w:hAnsi="宋体"/>
          <w:color w:val="000000"/>
          <w:sz w:val="23"/>
          <w:szCs w:val="23"/>
        </w:rPr>
        <w:t>在合同执行过程中产生的任何争议，双方应当友好协商解决，协商不成的，由合同签订所在地人民法院裁决。</w:t>
      </w:r>
    </w:p>
    <w:p>
      <w:pPr>
        <w:numPr>
          <w:ilvl w:val="0"/>
          <w:numId w:val="21"/>
        </w:numPr>
        <w:rPr>
          <w:rFonts w:ascii="宋体" w:hAnsi="宋体"/>
          <w:color w:val="000000"/>
          <w:sz w:val="23"/>
          <w:szCs w:val="23"/>
        </w:rPr>
      </w:pPr>
      <w:r>
        <w:rPr>
          <w:rFonts w:hint="eastAsia" w:ascii="宋体" w:hAnsi="宋体"/>
          <w:color w:val="000000"/>
          <w:sz w:val="23"/>
          <w:szCs w:val="23"/>
        </w:rPr>
        <w:t>争议解决过程不影响合同其他条款执行的，其他条款应继续执行。</w:t>
      </w:r>
    </w:p>
    <w:p>
      <w:pPr>
        <w:numPr>
          <w:ilvl w:val="0"/>
          <w:numId w:val="10"/>
        </w:numPr>
        <w:rPr>
          <w:rFonts w:ascii="宋体" w:hAnsi="宋体"/>
          <w:color w:val="000000"/>
          <w:sz w:val="23"/>
          <w:szCs w:val="23"/>
        </w:rPr>
      </w:pPr>
      <w:r>
        <w:rPr>
          <w:rFonts w:hint="eastAsia" w:ascii="宋体" w:hAnsi="宋体"/>
          <w:bCs/>
          <w:color w:val="000000"/>
          <w:sz w:val="23"/>
          <w:szCs w:val="23"/>
        </w:rPr>
        <w:t>合同生效</w:t>
      </w:r>
    </w:p>
    <w:p>
      <w:pPr>
        <w:numPr>
          <w:ilvl w:val="0"/>
          <w:numId w:val="22"/>
        </w:numPr>
        <w:rPr>
          <w:rFonts w:ascii="宋体" w:hAnsi="宋体"/>
          <w:color w:val="000000"/>
          <w:sz w:val="23"/>
          <w:szCs w:val="23"/>
        </w:rPr>
      </w:pPr>
      <w:r>
        <w:rPr>
          <w:rFonts w:hint="eastAsia" w:ascii="宋体" w:hAnsi="宋体"/>
          <w:color w:val="000000"/>
          <w:sz w:val="23"/>
          <w:szCs w:val="23"/>
        </w:rPr>
        <w:t>双方的约定：。</w:t>
      </w:r>
    </w:p>
    <w:p>
      <w:pPr>
        <w:ind w:firstLine="460" w:firstLineChars="200"/>
        <w:rPr>
          <w:rFonts w:ascii="宋体" w:hAnsi="宋体"/>
          <w:color w:val="000000"/>
          <w:sz w:val="23"/>
          <w:szCs w:val="23"/>
        </w:rPr>
      </w:pPr>
      <w:r>
        <w:rPr>
          <w:rFonts w:hint="eastAsia" w:ascii="宋体" w:hAnsi="宋体"/>
          <w:color w:val="000000"/>
          <w:sz w:val="23"/>
          <w:szCs w:val="23"/>
        </w:rPr>
        <w:t>经双方法定代表人或其授权人签字、盖公章后生效，如需履约保证金的，按照合同约定递交履约保证金后生效。</w:t>
      </w:r>
    </w:p>
    <w:p>
      <w:pPr>
        <w:numPr>
          <w:ilvl w:val="0"/>
          <w:numId w:val="10"/>
        </w:numPr>
        <w:rPr>
          <w:rFonts w:ascii="宋体" w:hAnsi="宋体"/>
          <w:color w:val="000000"/>
          <w:sz w:val="23"/>
          <w:szCs w:val="23"/>
        </w:rPr>
      </w:pPr>
      <w:r>
        <w:rPr>
          <w:rFonts w:hint="eastAsia" w:ascii="宋体" w:hAnsi="宋体"/>
          <w:bCs/>
          <w:color w:val="000000"/>
          <w:sz w:val="23"/>
          <w:szCs w:val="23"/>
        </w:rPr>
        <w:t>合同的解除</w:t>
      </w:r>
    </w:p>
    <w:p>
      <w:pPr>
        <w:numPr>
          <w:ilvl w:val="0"/>
          <w:numId w:val="23"/>
        </w:numPr>
        <w:rPr>
          <w:rFonts w:ascii="宋体" w:hAnsi="宋体"/>
          <w:color w:val="000000"/>
          <w:sz w:val="23"/>
          <w:szCs w:val="23"/>
        </w:rPr>
      </w:pPr>
      <w:r>
        <w:rPr>
          <w:rFonts w:hint="eastAsia" w:ascii="宋体" w:hAnsi="宋体"/>
          <w:color w:val="000000"/>
          <w:sz w:val="23"/>
          <w:szCs w:val="23"/>
        </w:rPr>
        <w:t>双方完全履行各自的权利和义务后，本合同自动解除。</w:t>
      </w:r>
    </w:p>
    <w:p>
      <w:pPr>
        <w:numPr>
          <w:ilvl w:val="0"/>
          <w:numId w:val="23"/>
        </w:numPr>
        <w:rPr>
          <w:rFonts w:ascii="宋体" w:hAnsi="宋体"/>
          <w:color w:val="000000"/>
          <w:sz w:val="23"/>
          <w:szCs w:val="23"/>
        </w:rPr>
      </w:pPr>
      <w:r>
        <w:rPr>
          <w:rFonts w:hint="eastAsia" w:ascii="宋体" w:hAnsi="宋体"/>
          <w:color w:val="000000"/>
          <w:sz w:val="23"/>
          <w:szCs w:val="23"/>
        </w:rPr>
        <w:t>双方的其它约定：。</w:t>
      </w:r>
    </w:p>
    <w:p>
      <w:pPr>
        <w:numPr>
          <w:ilvl w:val="0"/>
          <w:numId w:val="10"/>
        </w:numPr>
        <w:rPr>
          <w:rFonts w:ascii="宋体" w:hAnsi="宋体"/>
          <w:color w:val="000000"/>
          <w:sz w:val="23"/>
          <w:szCs w:val="23"/>
        </w:rPr>
      </w:pPr>
      <w:r>
        <w:rPr>
          <w:rFonts w:hint="eastAsia" w:ascii="宋体" w:hAnsi="宋体"/>
          <w:color w:val="000000"/>
          <w:sz w:val="23"/>
          <w:szCs w:val="23"/>
        </w:rPr>
        <w:t>附则</w:t>
      </w:r>
    </w:p>
    <w:p>
      <w:pPr>
        <w:numPr>
          <w:ilvl w:val="0"/>
          <w:numId w:val="24"/>
        </w:numPr>
        <w:rPr>
          <w:rFonts w:ascii="宋体" w:hAnsi="宋体"/>
          <w:color w:val="000000"/>
          <w:sz w:val="23"/>
          <w:szCs w:val="23"/>
        </w:rPr>
      </w:pPr>
      <w:r>
        <w:rPr>
          <w:rFonts w:hint="eastAsia" w:ascii="宋体" w:hAnsi="宋体"/>
          <w:color w:val="000000"/>
          <w:sz w:val="23"/>
          <w:szCs w:val="23"/>
        </w:rPr>
        <w:t>本合同未尽事宜，经双方协商一致后，可另行签订书面补充协议。</w:t>
      </w:r>
    </w:p>
    <w:p>
      <w:pPr>
        <w:numPr>
          <w:ilvl w:val="0"/>
          <w:numId w:val="24"/>
        </w:numPr>
        <w:rPr>
          <w:rFonts w:ascii="宋体" w:hAnsi="宋体"/>
          <w:color w:val="000000"/>
          <w:sz w:val="23"/>
          <w:szCs w:val="23"/>
        </w:rPr>
      </w:pPr>
      <w:r>
        <w:rPr>
          <w:rFonts w:hint="eastAsia" w:ascii="宋体" w:hAnsi="宋体"/>
          <w:color w:val="000000"/>
          <w:sz w:val="23"/>
          <w:szCs w:val="23"/>
        </w:rPr>
        <w:t>本合同壹式份，甲、乙双方各执份。</w:t>
      </w:r>
    </w:p>
    <w:p>
      <w:pPr>
        <w:numPr>
          <w:ilvl w:val="0"/>
          <w:numId w:val="24"/>
        </w:numPr>
        <w:rPr>
          <w:rFonts w:ascii="宋体" w:hAnsi="宋体"/>
          <w:color w:val="000000"/>
          <w:sz w:val="23"/>
          <w:szCs w:val="23"/>
        </w:rPr>
      </w:pPr>
      <w:r>
        <w:rPr>
          <w:rFonts w:hint="eastAsia" w:ascii="宋体" w:hAnsi="宋体"/>
          <w:color w:val="000000"/>
          <w:sz w:val="23"/>
          <w:szCs w:val="23"/>
        </w:rPr>
        <w:t>双方的其它约定：。</w:t>
      </w:r>
    </w:p>
    <w:p>
      <w:pPr>
        <w:numPr>
          <w:ilvl w:val="0"/>
          <w:numId w:val="10"/>
        </w:numPr>
        <w:rPr>
          <w:rFonts w:ascii="宋体" w:hAnsi="宋体"/>
          <w:color w:val="000000"/>
          <w:sz w:val="23"/>
          <w:szCs w:val="23"/>
        </w:rPr>
      </w:pPr>
      <w:r>
        <w:rPr>
          <w:rFonts w:hint="eastAsia" w:ascii="宋体" w:hAnsi="宋体"/>
          <w:color w:val="000000"/>
          <w:sz w:val="23"/>
          <w:szCs w:val="23"/>
        </w:rPr>
        <w:t>合同附件</w:t>
      </w:r>
    </w:p>
    <w:p>
      <w:pPr>
        <w:numPr>
          <w:ilvl w:val="0"/>
          <w:numId w:val="25"/>
        </w:numPr>
        <w:rPr>
          <w:rFonts w:ascii="宋体" w:hAnsi="宋体"/>
          <w:color w:val="000000"/>
          <w:sz w:val="23"/>
          <w:szCs w:val="23"/>
        </w:rPr>
      </w:pPr>
      <w:r>
        <w:rPr>
          <w:rFonts w:hint="eastAsia" w:ascii="宋体" w:hAnsi="宋体"/>
          <w:color w:val="000000"/>
          <w:sz w:val="23"/>
          <w:szCs w:val="23"/>
        </w:rPr>
        <w:t>附件一：价格明细清单。</w:t>
      </w:r>
    </w:p>
    <w:p>
      <w:pPr>
        <w:numPr>
          <w:ilvl w:val="0"/>
          <w:numId w:val="25"/>
        </w:numPr>
        <w:rPr>
          <w:rFonts w:ascii="宋体" w:hAnsi="宋体"/>
          <w:color w:val="000000"/>
          <w:sz w:val="23"/>
          <w:szCs w:val="23"/>
        </w:rPr>
      </w:pPr>
      <w:r>
        <w:rPr>
          <w:rFonts w:hint="eastAsia" w:ascii="宋体" w:hAnsi="宋体"/>
          <w:color w:val="000000"/>
          <w:sz w:val="23"/>
          <w:szCs w:val="23"/>
        </w:rPr>
        <w:t>标的数量、服务内容等文件。</w:t>
      </w:r>
    </w:p>
    <w:p>
      <w:pPr>
        <w:numPr>
          <w:ilvl w:val="0"/>
          <w:numId w:val="25"/>
        </w:numPr>
        <w:rPr>
          <w:rFonts w:ascii="宋体" w:hAnsi="宋体"/>
          <w:color w:val="000000"/>
          <w:sz w:val="23"/>
          <w:szCs w:val="23"/>
        </w:rPr>
      </w:pPr>
      <w:r>
        <w:rPr>
          <w:rFonts w:hint="eastAsia" w:ascii="宋体" w:hAnsi="宋体"/>
          <w:color w:val="000000"/>
          <w:sz w:val="23"/>
          <w:szCs w:val="23"/>
        </w:rPr>
        <w:t>其它附件：。</w:t>
      </w:r>
    </w:p>
    <w:p>
      <w:pPr>
        <w:spacing w:line="0" w:lineRule="atLeast"/>
        <w:ind w:left="1054" w:leftChars="228" w:hanging="575" w:hangingChars="250"/>
        <w:rPr>
          <w:rFonts w:ascii="宋体" w:hAnsi="宋体"/>
          <w:color w:val="000000"/>
          <w:sz w:val="23"/>
          <w:szCs w:val="23"/>
        </w:rPr>
      </w:pPr>
    </w:p>
    <w:tbl>
      <w:tblPr>
        <w:tblStyle w:val="43"/>
        <w:tblW w:w="7938" w:type="dxa"/>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甲方：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广东财经大学（盖章）</w:t>
            </w: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乙方：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color w:val="000000"/>
                <w:sz w:val="23"/>
                <w:szCs w:val="23"/>
              </w:rPr>
            </w:pPr>
            <w:r>
              <w:rPr>
                <w:rFonts w:hint="eastAsia" w:ascii="宋体" w:hAnsi="宋体"/>
                <w:color w:val="000000"/>
                <w:sz w:val="23"/>
                <w:szCs w:val="23"/>
              </w:rPr>
              <w:t>签约地点：</w:t>
            </w:r>
            <w:r>
              <w:rPr>
                <w:rFonts w:hint="eastAsia" w:ascii="宋体" w:hAnsi="宋体"/>
                <w:color w:val="000000"/>
                <w:sz w:val="23"/>
                <w:szCs w:val="23"/>
                <w:u w:val="single"/>
              </w:rPr>
              <w:t xml:space="preserve">       广州市海珠区仑头路21号      </w:t>
            </w:r>
          </w:p>
        </w:tc>
      </w:tr>
    </w:tbl>
    <w:p>
      <w:pPr>
        <w:pStyle w:val="3"/>
        <w:spacing w:before="0" w:after="0"/>
        <w:rPr>
          <w:rFonts w:ascii="宋体" w:hAnsi="宋体"/>
          <w:color w:val="000000"/>
          <w:szCs w:val="23"/>
        </w:rPr>
      </w:pPr>
      <w:r>
        <w:rPr>
          <w:b w:val="0"/>
          <w:color w:val="000000"/>
          <w:sz w:val="23"/>
          <w:szCs w:val="23"/>
        </w:rPr>
        <w:br w:type="page"/>
      </w:r>
      <w:bookmarkStart w:id="128" w:name="_Toc20964"/>
      <w:bookmarkStart w:id="129" w:name="_Toc298242764"/>
      <w:r>
        <w:rPr>
          <w:rFonts w:hint="eastAsia"/>
        </w:rPr>
        <w:t>第六部分  投标文件格式</w:t>
      </w:r>
      <w:bookmarkEnd w:id="128"/>
      <w:bookmarkEnd w:id="129"/>
    </w:p>
    <w:p>
      <w:pPr>
        <w:spacing w:line="480" w:lineRule="exact"/>
        <w:ind w:firstLine="450" w:firstLineChars="196"/>
        <w:rPr>
          <w:rFonts w:ascii="宋体"/>
          <w:color w:val="000000"/>
          <w:sz w:val="23"/>
          <w:szCs w:val="23"/>
        </w:rPr>
      </w:pPr>
      <w:r>
        <w:rPr>
          <w:rFonts w:hint="eastAsia" w:ascii="宋体"/>
          <w:bCs/>
          <w:color w:val="000000"/>
          <w:sz w:val="23"/>
          <w:szCs w:val="23"/>
        </w:rPr>
        <w:t>对于本招标文件中要求列出而本部分中没有具体格式及要求的内容，投标人可自行拟定清晰明确的文件格式，但投标文件应有相应的目录及页码。</w:t>
      </w:r>
    </w:p>
    <w:p>
      <w:pPr>
        <w:rPr>
          <w:rFonts w:ascii="宋体" w:hAnsi="宋体"/>
          <w:color w:val="000000"/>
          <w:sz w:val="23"/>
          <w:szCs w:val="23"/>
        </w:rPr>
      </w:pPr>
    </w:p>
    <w:p>
      <w:pPr>
        <w:rPr>
          <w:rFonts w:ascii="宋体" w:hAnsi="宋体"/>
          <w:color w:val="000000"/>
          <w:sz w:val="23"/>
          <w:szCs w:val="23"/>
        </w:rPr>
      </w:pPr>
    </w:p>
    <w:p>
      <w:pPr>
        <w:pStyle w:val="5"/>
        <w:numPr>
          <w:ilvl w:val="0"/>
          <w:numId w:val="26"/>
        </w:numPr>
      </w:pPr>
      <w:bookmarkStart w:id="130" w:name="_Toc26404"/>
      <w:r>
        <w:rPr>
          <w:rFonts w:hint="eastAsia"/>
        </w:rPr>
        <w:t>投标函</w:t>
      </w:r>
      <w:bookmarkEnd w:id="130"/>
    </w:p>
    <w:p>
      <w:pPr>
        <w:rPr>
          <w:rFonts w:ascii="宋体" w:hAnsi="宋体"/>
          <w:color w:val="000000"/>
          <w:sz w:val="23"/>
          <w:szCs w:val="23"/>
        </w:rPr>
      </w:pPr>
    </w:p>
    <w:p>
      <w:pPr>
        <w:spacing w:line="400" w:lineRule="exact"/>
        <w:rPr>
          <w:rFonts w:ascii="宋体" w:hAnsi="宋体"/>
          <w:color w:val="000000"/>
          <w:sz w:val="23"/>
          <w:szCs w:val="23"/>
        </w:rPr>
      </w:pPr>
      <w:r>
        <w:rPr>
          <w:rFonts w:hint="eastAsia" w:ascii="宋体" w:hAnsi="宋体"/>
          <w:color w:val="000000"/>
          <w:sz w:val="23"/>
          <w:szCs w:val="23"/>
        </w:rPr>
        <w:t>致: 广东财经大学</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我方确认收到贵方提供的</w:t>
      </w:r>
      <w:r>
        <w:rPr>
          <w:rFonts w:hint="eastAsia" w:ascii="宋体" w:hAnsi="宋体"/>
          <w:color w:val="000000"/>
          <w:kern w:val="28"/>
          <w:sz w:val="23"/>
          <w:szCs w:val="23"/>
          <w:u w:val="single"/>
        </w:rPr>
        <w:t xml:space="preserve">                采购项目（项目编号：     ）</w:t>
      </w:r>
      <w:r>
        <w:rPr>
          <w:rFonts w:hint="eastAsia" w:ascii="宋体" w:hAnsi="宋体"/>
          <w:color w:val="000000"/>
          <w:sz w:val="23"/>
          <w:szCs w:val="23"/>
        </w:rPr>
        <w:t>的招标文件的全部内容，我方：</w:t>
      </w:r>
      <w:r>
        <w:rPr>
          <w:rFonts w:hint="eastAsia" w:ascii="宋体" w:hAnsi="宋体"/>
          <w:color w:val="000000"/>
          <w:sz w:val="23"/>
          <w:szCs w:val="23"/>
          <w:u w:val="single"/>
        </w:rPr>
        <w:t xml:space="preserve">(投标人名称)                 </w:t>
      </w:r>
      <w:r>
        <w:rPr>
          <w:rFonts w:hint="eastAsia" w:ascii="宋体" w:hAnsi="宋体"/>
          <w:color w:val="000000"/>
          <w:sz w:val="23"/>
          <w:szCs w:val="23"/>
        </w:rPr>
        <w:t>作为投标人正式授权</w:t>
      </w:r>
      <w:r>
        <w:rPr>
          <w:rFonts w:hint="eastAsia" w:ascii="宋体" w:hAnsi="宋体"/>
          <w:color w:val="000000"/>
          <w:sz w:val="23"/>
          <w:szCs w:val="23"/>
          <w:u w:val="single"/>
        </w:rPr>
        <w:t xml:space="preserve"> (代理人全名、职务、身份证号码)              </w:t>
      </w:r>
      <w:r>
        <w:rPr>
          <w:rFonts w:hint="eastAsia" w:ascii="宋体" w:hAnsi="宋体"/>
          <w:color w:val="000000"/>
          <w:sz w:val="23"/>
          <w:szCs w:val="23"/>
        </w:rPr>
        <w:t>代表我方进行有关本投标的一切事宜。</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在此提交的投标文件，正本</w:t>
      </w:r>
      <w:r>
        <w:rPr>
          <w:rFonts w:hint="eastAsia" w:ascii="宋体" w:hAnsi="宋体"/>
          <w:b/>
          <w:bCs/>
          <w:color w:val="FF0000"/>
          <w:sz w:val="23"/>
          <w:szCs w:val="23"/>
          <w:u w:val="single"/>
        </w:rPr>
        <w:t xml:space="preserve"> 1</w:t>
      </w:r>
      <w:r>
        <w:rPr>
          <w:rFonts w:hint="eastAsia" w:ascii="宋体" w:hAnsi="宋体"/>
          <w:color w:val="FF0000"/>
          <w:sz w:val="23"/>
          <w:szCs w:val="23"/>
          <w:u w:val="single"/>
        </w:rPr>
        <w:t xml:space="preserve"> </w:t>
      </w:r>
      <w:r>
        <w:rPr>
          <w:rFonts w:hint="eastAsia" w:ascii="宋体" w:hAnsi="宋体"/>
          <w:color w:val="000000"/>
          <w:sz w:val="23"/>
          <w:szCs w:val="23"/>
        </w:rPr>
        <w:t>套，</w:t>
      </w:r>
      <w:bookmarkStart w:id="131" w:name="OLE_LINK4"/>
      <w:r>
        <w:rPr>
          <w:rFonts w:hint="eastAsia" w:ascii="宋体" w:hAnsi="宋体"/>
          <w:color w:val="000000"/>
          <w:sz w:val="23"/>
          <w:szCs w:val="23"/>
        </w:rPr>
        <w:t>副本</w:t>
      </w:r>
      <w:bookmarkEnd w:id="131"/>
      <w:r>
        <w:rPr>
          <w:rFonts w:hint="eastAsia" w:ascii="宋体" w:hAnsi="宋体" w:eastAsia="宋体" w:cs="Times New Roman"/>
          <w:b/>
          <w:bCs/>
          <w:color w:val="FF0000"/>
          <w:sz w:val="23"/>
          <w:szCs w:val="23"/>
          <w:u w:val="single"/>
          <w:lang w:val="en-US" w:eastAsia="zh-CN"/>
        </w:rPr>
        <w:t>3</w:t>
      </w:r>
      <w:r>
        <w:rPr>
          <w:rFonts w:hint="eastAsia" w:ascii="宋体" w:hAnsi="宋体"/>
          <w:color w:val="000000"/>
          <w:sz w:val="23"/>
          <w:szCs w:val="23"/>
        </w:rPr>
        <w:t>套，投标文件包括如下内容：</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投标函。</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价格文件。</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技术或服务文件。</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承诺书。</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投标资格文件。</w:t>
      </w:r>
    </w:p>
    <w:p>
      <w:pPr>
        <w:numPr>
          <w:ilvl w:val="0"/>
          <w:numId w:val="27"/>
        </w:numPr>
        <w:spacing w:line="400" w:lineRule="exact"/>
        <w:rPr>
          <w:rFonts w:ascii="宋体" w:hAnsi="宋体"/>
          <w:color w:val="000000"/>
          <w:sz w:val="23"/>
          <w:szCs w:val="23"/>
        </w:rPr>
      </w:pPr>
      <w:r>
        <w:rPr>
          <w:rFonts w:hint="eastAsia" w:ascii="宋体" w:hAnsi="宋体"/>
          <w:color w:val="000000"/>
          <w:sz w:val="23"/>
          <w:szCs w:val="23"/>
        </w:rPr>
        <w:t>其它有关文件（招标文件有规定或评标标准有涉及或投标人认为有需要提供的）。</w:t>
      </w:r>
    </w:p>
    <w:p>
      <w:pPr>
        <w:spacing w:line="400" w:lineRule="exact"/>
        <w:rPr>
          <w:rFonts w:ascii="宋体" w:hAnsi="宋体"/>
          <w:color w:val="000000"/>
          <w:sz w:val="23"/>
          <w:szCs w:val="23"/>
        </w:rPr>
      </w:pPr>
    </w:p>
    <w:p>
      <w:pPr>
        <w:spacing w:line="400" w:lineRule="exact"/>
        <w:ind w:firstLine="570"/>
        <w:rPr>
          <w:rFonts w:ascii="宋体" w:hAnsi="宋体"/>
          <w:color w:val="000000"/>
          <w:sz w:val="23"/>
          <w:szCs w:val="23"/>
        </w:rPr>
      </w:pPr>
      <w:r>
        <w:rPr>
          <w:rFonts w:hint="eastAsia" w:ascii="宋体" w:hAnsi="宋体"/>
          <w:color w:val="000000"/>
          <w:sz w:val="23"/>
          <w:szCs w:val="23"/>
        </w:rPr>
        <w:t>我方已完全明白招标文件的所有条款要求，并重申以下几点：</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按招标文件要求提供的投标总价详见《投标报价一览表》。</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我方明白，在规定的投标截止时间之后、投标有效期之内撤回投标或中标后不按规定与招标人签订合同或不提交履约保证金的，愿意接受有关投标保证金的罚则。</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我方同意按照贵方可能提出的要求而提供与投标有关的其它任何数据、信息或资料。</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我方理解贵方不一定接受最低投标价或任何贵方可能收到的投标。</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我方如果中标，将保证履行招标文件及其澄清、修改文件（如果有）中的全部责任和义务，按质、按量、按期履行好合同。</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我方作为</w:t>
      </w:r>
      <w:r>
        <w:rPr>
          <w:rFonts w:hint="eastAsia" w:ascii="宋体" w:hAnsi="宋体"/>
          <w:color w:val="000000"/>
          <w:sz w:val="23"/>
          <w:szCs w:val="23"/>
          <w:u w:val="single"/>
        </w:rPr>
        <w:t>（</w:t>
      </w:r>
      <w:r>
        <w:rPr>
          <w:rFonts w:hint="eastAsia" w:ascii="宋体" w:hAnsi="宋体"/>
          <w:i/>
          <w:color w:val="000000"/>
          <w:sz w:val="23"/>
          <w:szCs w:val="23"/>
          <w:u w:val="single"/>
        </w:rPr>
        <w:t>制造商/代理商）</w:t>
      </w:r>
      <w:r>
        <w:rPr>
          <w:rFonts w:hint="eastAsia" w:ascii="宋体" w:hAnsi="宋体"/>
          <w:color w:val="000000"/>
          <w:sz w:val="23"/>
          <w:szCs w:val="23"/>
        </w:rPr>
        <w:t>是在法律、财务和运作上独立于招标人的投标人，在此保证所提交的所有文件和全部说明是真实的、准确的、有效的。</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我方投标报价已包含应向知识产权所有权人支付的所有相关税费。并保证，招标人在中国使用我方提供的货物时，如有第三方提出侵犯其知识产权主张的，责任由我方承担。</w:t>
      </w:r>
    </w:p>
    <w:p>
      <w:pPr>
        <w:numPr>
          <w:ilvl w:val="0"/>
          <w:numId w:val="28"/>
        </w:numPr>
        <w:spacing w:line="400" w:lineRule="exact"/>
        <w:rPr>
          <w:rFonts w:ascii="宋体" w:hAnsi="宋体"/>
          <w:color w:val="000000"/>
          <w:sz w:val="23"/>
          <w:szCs w:val="23"/>
        </w:rPr>
      </w:pPr>
      <w:r>
        <w:rPr>
          <w:rFonts w:hint="eastAsia" w:ascii="宋体" w:hAnsi="宋体"/>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所有与本招标有关的函件请发往下列地址：</w:t>
      </w:r>
    </w:p>
    <w:p>
      <w:pPr>
        <w:spacing w:line="400" w:lineRule="exact"/>
        <w:rPr>
          <w:rFonts w:ascii="宋体" w:hAnsi="宋体"/>
          <w:color w:val="000000"/>
          <w:sz w:val="23"/>
          <w:szCs w:val="23"/>
        </w:rPr>
      </w:pPr>
    </w:p>
    <w:p>
      <w:pPr>
        <w:spacing w:line="440" w:lineRule="exact"/>
        <w:rPr>
          <w:rFonts w:ascii="宋体" w:hAnsi="宋体"/>
          <w:sz w:val="23"/>
          <w:szCs w:val="23"/>
          <w:u w:val="single"/>
        </w:rPr>
      </w:pPr>
      <w:r>
        <w:rPr>
          <w:rFonts w:hint="eastAsia" w:ascii="宋体" w:hAnsi="宋体"/>
          <w:sz w:val="23"/>
          <w:szCs w:val="23"/>
        </w:rPr>
        <w:t xml:space="preserve">  电    话：</w:t>
      </w:r>
      <w:r>
        <w:rPr>
          <w:rFonts w:hint="eastAsia" w:ascii="宋体" w:hAnsi="宋体"/>
          <w:sz w:val="23"/>
          <w:szCs w:val="23"/>
          <w:u w:val="single"/>
        </w:rPr>
        <w:t xml:space="preserve">                             .</w:t>
      </w:r>
      <w:r>
        <w:rPr>
          <w:rFonts w:hint="eastAsia" w:ascii="宋体" w:hAnsi="宋体"/>
          <w:sz w:val="23"/>
          <w:szCs w:val="23"/>
        </w:rPr>
        <w:t>传    真：.</w:t>
      </w:r>
    </w:p>
    <w:p>
      <w:pPr>
        <w:spacing w:line="440" w:lineRule="exact"/>
        <w:ind w:firstLine="230" w:firstLineChars="100"/>
        <w:rPr>
          <w:rFonts w:ascii="宋体" w:hAnsi="宋体"/>
          <w:sz w:val="23"/>
          <w:szCs w:val="23"/>
          <w:u w:val="single"/>
        </w:rPr>
      </w:pPr>
      <w:r>
        <w:rPr>
          <w:rFonts w:hint="eastAsia" w:ascii="宋体" w:hAnsi="宋体"/>
          <w:sz w:val="23"/>
          <w:szCs w:val="23"/>
        </w:rPr>
        <w:t>地    址：.邮政编码：.</w:t>
      </w:r>
    </w:p>
    <w:p>
      <w:pPr>
        <w:spacing w:line="440" w:lineRule="exact"/>
        <w:rPr>
          <w:rFonts w:ascii="宋体" w:hAnsi="宋体"/>
          <w:sz w:val="23"/>
          <w:szCs w:val="23"/>
          <w:u w:val="single"/>
        </w:rPr>
      </w:pPr>
      <w:r>
        <w:rPr>
          <w:rFonts w:hint="eastAsia" w:ascii="宋体" w:hAnsi="宋体"/>
          <w:sz w:val="23"/>
          <w:szCs w:val="23"/>
        </w:rPr>
        <w:t xml:space="preserve">  代表姓名：.职    务：.</w:t>
      </w:r>
    </w:p>
    <w:p>
      <w:pPr>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rPr>
          <w:color w:val="000000"/>
          <w:sz w:val="23"/>
          <w:szCs w:val="23"/>
        </w:rPr>
      </w:pPr>
      <w:r>
        <w:rPr>
          <w:rFonts w:hint="eastAsia"/>
          <w:color w:val="000000"/>
          <w:sz w:val="23"/>
          <w:szCs w:val="23"/>
        </w:rPr>
        <w:t>（注：本投标函为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color w:val="000000"/>
          <w:sz w:val="23"/>
          <w:szCs w:val="23"/>
        </w:rPr>
        <w:t>，否则，作无效处理）</w:t>
      </w:r>
    </w:p>
    <w:p>
      <w:pPr>
        <w:adjustRightInd w:val="0"/>
        <w:snapToGrid w:val="0"/>
        <w:outlineLvl w:val="0"/>
        <w:rPr>
          <w:rFonts w:ascii="宋体" w:hAnsi="宋体"/>
          <w:color w:val="000000"/>
          <w:sz w:val="23"/>
          <w:szCs w:val="23"/>
        </w:rPr>
      </w:pPr>
      <w:r>
        <w:rPr>
          <w:rFonts w:hint="eastAsia" w:ascii="宋体" w:hAnsi="宋体"/>
          <w:color w:val="000000"/>
          <w:sz w:val="23"/>
          <w:szCs w:val="23"/>
        </w:rPr>
        <w:br w:type="page"/>
      </w:r>
    </w:p>
    <w:p>
      <w:pPr>
        <w:pStyle w:val="5"/>
        <w:numPr>
          <w:ilvl w:val="0"/>
          <w:numId w:val="26"/>
        </w:numPr>
      </w:pPr>
      <w:bookmarkStart w:id="132" w:name="_Toc298242766"/>
      <w:bookmarkStart w:id="133" w:name="_Toc20173"/>
      <w:r>
        <w:rPr>
          <w:rFonts w:hint="eastAsia"/>
        </w:rPr>
        <w:t>价格文件</w:t>
      </w:r>
      <w:bookmarkEnd w:id="132"/>
      <w:bookmarkEnd w:id="133"/>
    </w:p>
    <w:p>
      <w:pPr>
        <w:adjustRightInd w:val="0"/>
        <w:snapToGrid w:val="0"/>
        <w:outlineLvl w:val="0"/>
        <w:rPr>
          <w:rFonts w:ascii="宋体" w:hAnsi="宋体"/>
          <w:color w:val="000000"/>
          <w:sz w:val="23"/>
          <w:szCs w:val="23"/>
        </w:rPr>
      </w:pPr>
    </w:p>
    <w:p>
      <w:pPr>
        <w:spacing w:line="560" w:lineRule="exact"/>
        <w:jc w:val="center"/>
        <w:rPr>
          <w:rFonts w:ascii="宋体" w:hAnsi="宋体"/>
          <w:b/>
          <w:bCs/>
          <w:color w:val="000000"/>
          <w:sz w:val="28"/>
          <w:szCs w:val="28"/>
        </w:rPr>
      </w:pPr>
      <w:r>
        <w:rPr>
          <w:rFonts w:hint="eastAsia" w:ascii="宋体" w:hAnsi="宋体"/>
          <w:b/>
          <w:bCs/>
          <w:color w:val="000000"/>
          <w:sz w:val="28"/>
          <w:szCs w:val="28"/>
        </w:rPr>
        <w:t>投标报价一览表</w:t>
      </w:r>
    </w:p>
    <w:p>
      <w:pPr>
        <w:pStyle w:val="53"/>
        <w:ind w:firstLine="460"/>
      </w:pPr>
      <w:r>
        <w:rPr>
          <w:rFonts w:hint="eastAsia" w:ascii="宋体" w:hAnsi="宋体"/>
          <w:color w:val="000000"/>
          <w:sz w:val="23"/>
          <w:szCs w:val="23"/>
        </w:rPr>
        <w:t xml:space="preserve">                                                   货币单位：人民币元</w:t>
      </w:r>
    </w:p>
    <w:p>
      <w:pPr>
        <w:adjustRightInd w:val="0"/>
        <w:snapToGrid w:val="0"/>
        <w:outlineLvl w:val="0"/>
        <w:rPr>
          <w:rFonts w:ascii="宋体" w:hAnsi="宋体"/>
          <w:color w:val="000000"/>
          <w:sz w:val="23"/>
          <w:szCs w:val="23"/>
        </w:rPr>
      </w:pPr>
    </w:p>
    <w:tbl>
      <w:tblPr>
        <w:tblStyle w:val="43"/>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宋体" w:hAnsi="宋体"/>
                <w:b/>
                <w:bCs/>
                <w:color w:val="000000"/>
                <w:kern w:val="0"/>
                <w:sz w:val="23"/>
                <w:szCs w:val="23"/>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spacing w:line="276" w:lineRule="auto"/>
              <w:ind w:left="2005" w:leftChars="266" w:hanging="1446" w:hangingChars="600"/>
              <w:rPr>
                <w:rFonts w:asciiTheme="majorEastAsia" w:hAnsiTheme="majorEastAsia" w:eastAsiaTheme="majorEastAsia"/>
                <w:b/>
                <w:color w:val="000000"/>
                <w:sz w:val="24"/>
              </w:rPr>
            </w:pPr>
            <w:r>
              <w:rPr>
                <w:rFonts w:hint="eastAsia" w:asciiTheme="majorEastAsia" w:hAnsiTheme="majorEastAsia" w:eastAsiaTheme="majorEastAsia"/>
                <w:b/>
                <w:color w:val="000000"/>
                <w:sz w:val="24"/>
              </w:rPr>
              <w:t>佛山校区2023-2024年计算机及办公设备维修保养服务项目</w:t>
            </w:r>
          </w:p>
        </w:tc>
      </w:tr>
      <w:tr>
        <w:tblPrEx>
          <w:tblCellMar>
            <w:top w:w="0" w:type="dxa"/>
            <w:left w:w="30" w:type="dxa"/>
            <w:bottom w:w="0" w:type="dxa"/>
            <w:right w:w="30" w:type="dxa"/>
          </w:tblCellMar>
        </w:tblPrEx>
        <w:trPr>
          <w:cantSplit/>
          <w:trHeight w:val="708" w:hRule="atLeast"/>
          <w:jc w:val="center"/>
        </w:trPr>
        <w:tc>
          <w:tcPr>
            <w:tcW w:w="2229" w:type="dxa"/>
            <w:vMerge w:val="restart"/>
            <w:tcBorders>
              <w:left w:val="single" w:color="auto" w:sz="6" w:space="0"/>
              <w:right w:val="single" w:color="auto" w:sz="6" w:space="0"/>
            </w:tcBorders>
            <w:vAlign w:val="center"/>
          </w:tcPr>
          <w:p>
            <w:pPr>
              <w:autoSpaceDE w:val="0"/>
              <w:autoSpaceDN w:val="0"/>
              <w:adjustRightInd w:val="0"/>
              <w:spacing w:line="480" w:lineRule="exact"/>
              <w:jc w:val="center"/>
            </w:pPr>
            <w:r>
              <w:rPr>
                <w:rFonts w:hint="eastAsia" w:ascii="宋体" w:hAnsi="宋体"/>
                <w:b/>
                <w:bCs/>
                <w:color w:val="000000"/>
                <w:sz w:val="23"/>
                <w:szCs w:val="23"/>
              </w:rPr>
              <w:t>投标总报价</w:t>
            </w:r>
          </w:p>
        </w:tc>
        <w:tc>
          <w:tcPr>
            <w:tcW w:w="7119" w:type="dxa"/>
            <w:tcBorders>
              <w:top w:val="single" w:color="auto" w:sz="6" w:space="0"/>
              <w:left w:val="single" w:color="auto" w:sz="6" w:space="0"/>
              <w:bottom w:val="single" w:color="auto" w:sz="6" w:space="0"/>
              <w:right w:val="single" w:color="auto" w:sz="6" w:space="0"/>
            </w:tcBorders>
            <w:vAlign w:val="center"/>
          </w:tcPr>
          <w:p>
            <w:pPr>
              <w:pStyle w:val="53"/>
              <w:ind w:firstLine="0" w:firstLineChars="0"/>
              <w:rPr>
                <w:rFonts w:ascii="宋体"/>
                <w:b/>
                <w:color w:val="000000"/>
                <w:sz w:val="24"/>
                <w:u w:val="single"/>
              </w:rPr>
            </w:pPr>
          </w:p>
          <w:p>
            <w:pPr>
              <w:pStyle w:val="53"/>
              <w:ind w:firstLine="482"/>
              <w:rPr>
                <w:rFonts w:ascii="宋体"/>
                <w:b/>
                <w:color w:val="000000"/>
                <w:sz w:val="24"/>
                <w:u w:val="single"/>
              </w:rPr>
            </w:pPr>
            <w:r>
              <w:rPr>
                <w:rFonts w:hint="eastAsia" w:ascii="宋体" w:hAnsi="宋体"/>
                <w:b/>
                <w:color w:val="000000"/>
                <w:kern w:val="0"/>
                <w:sz w:val="24"/>
                <w:u w:val="single"/>
              </w:rPr>
              <w:t xml:space="preserve">￥  </w:t>
            </w:r>
            <w:r>
              <w:rPr>
                <w:rFonts w:hint="eastAsia" w:ascii="宋体" w:hAnsi="宋体"/>
                <w:color w:val="000000"/>
                <w:kern w:val="0"/>
                <w:sz w:val="23"/>
                <w:szCs w:val="23"/>
                <w:u w:val="single"/>
              </w:rPr>
              <w:t xml:space="preserve">                       </w:t>
            </w:r>
            <w:r>
              <w:rPr>
                <w:rFonts w:hint="eastAsia" w:ascii="宋体" w:hAnsi="宋体"/>
                <w:b/>
                <w:color w:val="000000"/>
                <w:sz w:val="24"/>
              </w:rPr>
              <w:t xml:space="preserve">元 </w:t>
            </w:r>
          </w:p>
          <w:p>
            <w:pPr>
              <w:pStyle w:val="53"/>
              <w:ind w:firstLine="482"/>
              <w:rPr>
                <w:rFonts w:ascii="宋体"/>
                <w:b/>
                <w:color w:val="000000"/>
                <w:sz w:val="24"/>
                <w:u w:val="single"/>
              </w:rPr>
            </w:pPr>
          </w:p>
        </w:tc>
      </w:tr>
      <w:tr>
        <w:tblPrEx>
          <w:tblCellMar>
            <w:top w:w="0" w:type="dxa"/>
            <w:left w:w="30" w:type="dxa"/>
            <w:bottom w:w="0" w:type="dxa"/>
            <w:right w:w="30" w:type="dxa"/>
          </w:tblCellMar>
        </w:tblPrEx>
        <w:trPr>
          <w:cantSplit/>
          <w:trHeight w:val="708" w:hRule="atLeast"/>
          <w:jc w:val="center"/>
        </w:trPr>
        <w:tc>
          <w:tcPr>
            <w:tcW w:w="2229" w:type="dxa"/>
            <w:vMerge w:val="continue"/>
            <w:tcBorders>
              <w:left w:val="single" w:color="auto" w:sz="6" w:space="0"/>
              <w:bottom w:val="single" w:color="auto" w:sz="6" w:space="0"/>
              <w:right w:val="single" w:color="auto" w:sz="6" w:space="0"/>
            </w:tcBorders>
            <w:vAlign w:val="center"/>
          </w:tcPr>
          <w:p>
            <w:pPr>
              <w:pStyle w:val="53"/>
              <w:ind w:firstLine="400"/>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482" w:firstLineChars="200"/>
              <w:jc w:val="left"/>
              <w:rPr>
                <w:rFonts w:ascii="宋体"/>
                <w:b/>
                <w:color w:val="000000"/>
                <w:sz w:val="24"/>
                <w:u w:val="single"/>
              </w:rPr>
            </w:pPr>
            <w:r>
              <w:rPr>
                <w:rFonts w:hint="eastAsia" w:ascii="宋体"/>
                <w:b/>
                <w:color w:val="000000"/>
                <w:sz w:val="24"/>
                <w:u w:val="single"/>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r>
              <w:rPr>
                <w:rFonts w:hint="eastAsia" w:ascii="宋体" w:hAnsi="宋体"/>
                <w:b/>
                <w:color w:val="000000"/>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ascii="宋体" w:hAnsi="宋体"/>
                <w:color w:val="000000"/>
                <w:kern w:val="0"/>
                <w:sz w:val="23"/>
                <w:szCs w:val="23"/>
              </w:rPr>
            </w:pPr>
            <w:r>
              <w:rPr>
                <w:rFonts w:hint="eastAsia" w:ascii="宋体" w:hAnsi="宋体"/>
                <w:color w:val="000000"/>
                <w:kern w:val="0"/>
                <w:sz w:val="23"/>
                <w:szCs w:val="23"/>
              </w:rPr>
              <w:t>无</w:t>
            </w:r>
          </w:p>
        </w:tc>
      </w:tr>
    </w:tbl>
    <w:p>
      <w:pPr>
        <w:pStyle w:val="23"/>
        <w:spacing w:line="480" w:lineRule="exact"/>
        <w:rPr>
          <w:rFonts w:hAnsi="宋体"/>
          <w:color w:val="000000"/>
          <w:sz w:val="23"/>
          <w:szCs w:val="23"/>
        </w:rPr>
      </w:pPr>
      <w:r>
        <w:rPr>
          <w:rFonts w:hint="eastAsia" w:hAnsi="宋体"/>
          <w:color w:val="000000"/>
          <w:sz w:val="23"/>
          <w:szCs w:val="23"/>
        </w:rPr>
        <w:t>注：</w:t>
      </w:r>
    </w:p>
    <w:p>
      <w:pPr>
        <w:pStyle w:val="23"/>
        <w:spacing w:line="0" w:lineRule="atLeast"/>
        <w:ind w:left="833" w:leftChars="203" w:hanging="407" w:hangingChars="177"/>
        <w:rPr>
          <w:rFonts w:hAnsi="宋体"/>
          <w:color w:val="000000"/>
          <w:sz w:val="23"/>
          <w:szCs w:val="23"/>
        </w:rPr>
      </w:pPr>
      <w:r>
        <w:rPr>
          <w:rFonts w:hAnsi="宋体"/>
          <w:color w:val="000000"/>
          <w:sz w:val="23"/>
          <w:szCs w:val="23"/>
        </w:rPr>
        <w:t>1</w:t>
      </w:r>
      <w:r>
        <w:rPr>
          <w:rFonts w:hint="eastAsia" w:hAnsi="宋体"/>
          <w:color w:val="000000"/>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pPr>
        <w:pStyle w:val="23"/>
        <w:spacing w:line="0" w:lineRule="atLeast"/>
        <w:ind w:left="833" w:leftChars="203" w:hanging="407" w:hangingChars="177"/>
        <w:rPr>
          <w:color w:val="000000"/>
          <w:sz w:val="23"/>
          <w:szCs w:val="23"/>
        </w:rPr>
      </w:pPr>
      <w:r>
        <w:rPr>
          <w:rFonts w:hint="eastAsia"/>
          <w:color w:val="000000"/>
          <w:sz w:val="23"/>
          <w:szCs w:val="23"/>
        </w:rPr>
        <w:t>2、填写此表时</w:t>
      </w:r>
      <w:r>
        <w:rPr>
          <w:rFonts w:hint="eastAsia"/>
          <w:color w:val="000000"/>
          <w:sz w:val="23"/>
          <w:szCs w:val="23"/>
          <w:u w:val="single"/>
        </w:rPr>
        <w:t>不得改变表格的形式</w:t>
      </w:r>
      <w:r>
        <w:rPr>
          <w:rFonts w:hint="eastAsia"/>
          <w:color w:val="000000"/>
          <w:sz w:val="23"/>
          <w:szCs w:val="23"/>
        </w:rPr>
        <w:t>。</w:t>
      </w:r>
    </w:p>
    <w:p>
      <w:pPr>
        <w:pStyle w:val="23"/>
        <w:spacing w:line="0" w:lineRule="atLeast"/>
        <w:ind w:left="833" w:leftChars="203" w:hanging="407" w:hangingChars="177"/>
        <w:rPr>
          <w:color w:val="000000"/>
          <w:sz w:val="23"/>
          <w:szCs w:val="23"/>
        </w:rPr>
      </w:pPr>
      <w:r>
        <w:rPr>
          <w:rFonts w:hint="eastAsia"/>
          <w:color w:val="000000"/>
          <w:sz w:val="23"/>
          <w:szCs w:val="23"/>
        </w:rPr>
        <w:t>3、以上表中内容必须计算机录入、填写、打印。手写按无效投标处理。</w:t>
      </w:r>
    </w:p>
    <w:p>
      <w:pPr>
        <w:adjustRightInd w:val="0"/>
        <w:snapToGrid w:val="0"/>
        <w:rPr>
          <w:rFonts w:ascii="宋体" w:hAnsi="宋体"/>
          <w:color w:val="000000"/>
          <w:sz w:val="23"/>
          <w:szCs w:val="23"/>
        </w:rPr>
      </w:pPr>
    </w:p>
    <w:p>
      <w:pPr>
        <w:adjustRightInd w:val="0"/>
        <w:snapToGrid w:val="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p>
    <w:p>
      <w:pPr>
        <w:rPr>
          <w:color w:val="000000"/>
          <w:sz w:val="23"/>
          <w:szCs w:val="23"/>
        </w:rPr>
      </w:pPr>
    </w:p>
    <w:p>
      <w:pPr>
        <w:rPr>
          <w:color w:val="000000"/>
          <w:sz w:val="23"/>
          <w:szCs w:val="23"/>
        </w:rPr>
      </w:pPr>
    </w:p>
    <w:p>
      <w:pPr>
        <w:rPr>
          <w:color w:val="000000"/>
          <w:sz w:val="23"/>
          <w:szCs w:val="23"/>
        </w:rPr>
      </w:pPr>
      <w:r>
        <w:rPr>
          <w:rFonts w:hint="eastAsia"/>
          <w:color w:val="000000"/>
          <w:sz w:val="23"/>
          <w:szCs w:val="23"/>
        </w:rPr>
        <w:t>（注：本报价表为</w:t>
      </w:r>
      <w:r>
        <w:rPr>
          <w:rFonts w:hint="eastAsia"/>
          <w:b/>
          <w:bCs/>
          <w:color w:val="000000"/>
          <w:sz w:val="23"/>
          <w:szCs w:val="23"/>
          <w:u w:val="single"/>
        </w:rPr>
        <w:t>必要文件</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否则，作无效处理）</w:t>
      </w:r>
    </w:p>
    <w:p>
      <w:pPr>
        <w:rPr>
          <w:rFonts w:ascii="宋体" w:hAnsi="宋体"/>
          <w:color w:val="000000"/>
          <w:sz w:val="23"/>
          <w:szCs w:val="23"/>
        </w:rPr>
      </w:pPr>
      <w:r>
        <w:rPr>
          <w:color w:val="000000"/>
          <w:sz w:val="23"/>
          <w:szCs w:val="23"/>
        </w:rPr>
        <w:br w:type="page"/>
      </w:r>
      <w:bookmarkStart w:id="134" w:name="_Toc295727243"/>
    </w:p>
    <w:p>
      <w:pPr>
        <w:pStyle w:val="5"/>
        <w:numPr>
          <w:ilvl w:val="0"/>
          <w:numId w:val="29"/>
        </w:numPr>
        <w:tabs>
          <w:tab w:val="left" w:pos="0"/>
        </w:tabs>
      </w:pPr>
      <w:bookmarkStart w:id="135" w:name="_Toc295727241"/>
      <w:bookmarkStart w:id="136" w:name="_Toc59630614"/>
      <w:bookmarkStart w:id="137" w:name="_Toc7488"/>
      <w:r>
        <w:rPr>
          <w:rFonts w:hint="eastAsia"/>
        </w:rPr>
        <w:t>技术文件</w:t>
      </w:r>
      <w:bookmarkEnd w:id="135"/>
      <w:bookmarkEnd w:id="136"/>
      <w:bookmarkEnd w:id="137"/>
    </w:p>
    <w:p>
      <w:pPr>
        <w:spacing w:line="560" w:lineRule="exact"/>
        <w:jc w:val="left"/>
        <w:rPr>
          <w:rFonts w:ascii="宋体" w:hAnsi="宋体"/>
          <w:b/>
          <w:color w:val="000000"/>
          <w:sz w:val="24"/>
        </w:rPr>
      </w:pPr>
      <w:r>
        <w:rPr>
          <w:rFonts w:hint="eastAsia" w:ascii="宋体" w:hAnsi="宋体"/>
          <w:b/>
          <w:color w:val="000000"/>
          <w:sz w:val="24"/>
        </w:rPr>
        <w:t>6.3.1一般技术响应表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vAlign w:val="center"/>
          </w:tcPr>
          <w:p>
            <w:pPr>
              <w:jc w:val="center"/>
              <w:rPr>
                <w:rFonts w:ascii="宋体" w:hAnsi="宋体"/>
                <w:b/>
                <w:color w:val="000000"/>
                <w:szCs w:val="21"/>
              </w:rPr>
            </w:pPr>
            <w:r>
              <w:rPr>
                <w:rFonts w:hint="eastAsia" w:ascii="宋体" w:hAnsi="宋体"/>
                <w:b/>
                <w:color w:val="000000"/>
                <w:szCs w:val="21"/>
              </w:rPr>
              <w:t>序号</w:t>
            </w:r>
          </w:p>
        </w:tc>
        <w:tc>
          <w:tcPr>
            <w:tcW w:w="752" w:type="dxa"/>
            <w:vAlign w:val="center"/>
          </w:tcPr>
          <w:p>
            <w:pPr>
              <w:jc w:val="center"/>
              <w:rPr>
                <w:rFonts w:ascii="宋体" w:hAnsi="宋体"/>
                <w:b/>
                <w:color w:val="000000"/>
                <w:szCs w:val="21"/>
              </w:rPr>
            </w:pPr>
            <w:r>
              <w:rPr>
                <w:rFonts w:hint="eastAsia" w:ascii="宋体" w:hAnsi="宋体"/>
                <w:b/>
                <w:color w:val="000000"/>
                <w:szCs w:val="21"/>
              </w:rPr>
              <w:t>规格/要求</w:t>
            </w:r>
          </w:p>
        </w:tc>
        <w:tc>
          <w:tcPr>
            <w:tcW w:w="3383" w:type="dxa"/>
            <w:vAlign w:val="center"/>
          </w:tcPr>
          <w:p>
            <w:pPr>
              <w:jc w:val="center"/>
              <w:rPr>
                <w:rFonts w:ascii="宋体" w:hAnsi="宋体"/>
                <w:b/>
                <w:color w:val="000000"/>
                <w:szCs w:val="21"/>
              </w:rPr>
            </w:pPr>
            <w:r>
              <w:rPr>
                <w:rFonts w:hint="eastAsia" w:ascii="宋体" w:hAnsi="宋体"/>
                <w:b/>
                <w:color w:val="000000"/>
                <w:szCs w:val="21"/>
              </w:rPr>
              <w:t>投标/响应实际参数</w:t>
            </w:r>
          </w:p>
          <w:p>
            <w:pPr>
              <w:jc w:val="center"/>
              <w:rPr>
                <w:rFonts w:ascii="宋体" w:hAnsi="宋体"/>
                <w:b/>
                <w:color w:val="000000"/>
                <w:szCs w:val="21"/>
              </w:rPr>
            </w:pPr>
            <w:r>
              <w:rPr>
                <w:rFonts w:hint="eastAsia" w:ascii="宋体" w:hAnsi="宋体"/>
                <w:b/>
                <w:bCs/>
                <w:color w:val="000000"/>
                <w:szCs w:val="21"/>
              </w:rPr>
              <w:t>(投标人应按响应货物/技术实际数据填写，不能照抄要求)</w:t>
            </w:r>
          </w:p>
        </w:tc>
        <w:tc>
          <w:tcPr>
            <w:tcW w:w="2100" w:type="dxa"/>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695" w:type="dxa"/>
            <w:vAlign w:val="center"/>
          </w:tcPr>
          <w:p>
            <w:pPr>
              <w:jc w:val="center"/>
              <w:rPr>
                <w:rFonts w:ascii="宋体" w:hAnsi="宋体"/>
                <w:b/>
                <w:color w:val="000000"/>
                <w:szCs w:val="21"/>
              </w:rPr>
            </w:pPr>
            <w:r>
              <w:rPr>
                <w:rFonts w:hint="eastAsia" w:ascii="宋体" w:hAnsi="宋体"/>
                <w:b/>
                <w:color w:val="000000"/>
                <w:szCs w:val="21"/>
              </w:rPr>
              <w:t>偏离简述</w:t>
            </w:r>
          </w:p>
        </w:tc>
        <w:tc>
          <w:tcPr>
            <w:tcW w:w="1205" w:type="dxa"/>
            <w:vAlign w:val="center"/>
          </w:tcPr>
          <w:p>
            <w:pPr>
              <w:jc w:val="center"/>
              <w:rPr>
                <w:rFonts w:ascii="宋体" w:hAnsi="宋体"/>
                <w:b/>
                <w:color w:val="000000"/>
                <w:szCs w:val="21"/>
              </w:rPr>
            </w:pPr>
            <w:r>
              <w:rPr>
                <w:rFonts w:hint="eastAsia" w:ascii="宋体" w:hAnsi="宋体"/>
                <w:b/>
                <w:color w:val="000000"/>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1</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2</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3</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4</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5</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6</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7</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8</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p>
        </w:tc>
      </w:tr>
    </w:tbl>
    <w:p>
      <w:pPr>
        <w:spacing w:line="0" w:lineRule="atLeast"/>
        <w:ind w:left="708" w:hanging="707" w:hangingChars="337"/>
        <w:rPr>
          <w:rFonts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1、投标人必须对应招标文件第二部分的各条款”的一般技术要求的有关内容逐条响应。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请在“偏离简述”栏内扼要说明偏离情况，如无偏离则不需列明。</w:t>
      </w:r>
    </w:p>
    <w:p>
      <w:pPr>
        <w:ind w:firstLine="210" w:firstLineChars="100"/>
        <w:rPr>
          <w:rFonts w:ascii="宋体" w:hAnsi="宋体"/>
          <w:color w:val="000000"/>
          <w:sz w:val="23"/>
          <w:szCs w:val="23"/>
        </w:rPr>
      </w:pPr>
      <w:r>
        <w:rPr>
          <w:rFonts w:hint="eastAsia" w:ascii="宋体" w:hAnsi="宋体"/>
          <w:color w:val="000000"/>
          <w:szCs w:val="21"/>
        </w:rPr>
        <w:t>4、</w:t>
      </w:r>
      <w:r>
        <w:rPr>
          <w:rFonts w:hint="eastAsia" w:ascii="宋体" w:hAnsi="宋体"/>
          <w:color w:val="000000"/>
          <w:sz w:val="23"/>
          <w:szCs w:val="23"/>
        </w:rPr>
        <w:t>以上所有文件均需加盖投标人公章。</w:t>
      </w:r>
    </w:p>
    <w:p>
      <w:pPr>
        <w:spacing w:line="0" w:lineRule="atLeast"/>
        <w:ind w:left="525" w:leftChars="100" w:hanging="315" w:hangingChars="150"/>
        <w:rPr>
          <w:rFonts w:ascii="宋体" w:hAnsi="宋体"/>
          <w:color w:val="000000"/>
          <w:szCs w:val="21"/>
        </w:rPr>
      </w:pPr>
    </w:p>
    <w:p>
      <w:pPr>
        <w:rPr>
          <w:rFonts w:ascii="宋体" w:hAnsi="宋体"/>
          <w:b/>
          <w:color w:val="000000"/>
          <w:sz w:val="24"/>
        </w:rPr>
      </w:pPr>
    </w:p>
    <w:p>
      <w:pPr>
        <w:rPr>
          <w:rFonts w:ascii="宋体" w:hAnsi="宋体"/>
          <w:b/>
          <w:color w:val="000000"/>
          <w:sz w:val="24"/>
          <w:lang w:val="en-GB"/>
        </w:rPr>
      </w:pP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53"/>
        <w:ind w:firstLine="400"/>
      </w:pPr>
    </w:p>
    <w:p>
      <w:pPr>
        <w:pStyle w:val="53"/>
        <w:ind w:firstLine="460"/>
        <w:rPr>
          <w:rFonts w:ascii="宋体" w:hAnsi="宋体"/>
          <w:color w:val="000000"/>
          <w:sz w:val="23"/>
          <w:szCs w:val="23"/>
        </w:rPr>
      </w:pPr>
    </w:p>
    <w:p>
      <w:pPr>
        <w:spacing w:line="360" w:lineRule="auto"/>
        <w:rPr>
          <w:rFonts w:ascii="宋体" w:hAnsi="宋体"/>
          <w:b/>
          <w:color w:val="000000"/>
          <w:sz w:val="28"/>
          <w:szCs w:val="28"/>
        </w:rPr>
      </w:pPr>
      <w:bookmarkStart w:id="138" w:name="_Toc28300"/>
      <w:r>
        <w:rPr>
          <w:rFonts w:hint="eastAsia" w:ascii="宋体" w:hAnsi="宋体"/>
          <w:b/>
          <w:color w:val="000000"/>
          <w:sz w:val="28"/>
          <w:szCs w:val="28"/>
        </w:rPr>
        <w:t>6.3.2实质性响应条款（“</w:t>
      </w:r>
      <w:r>
        <w:rPr>
          <w:rFonts w:hint="eastAsia" w:ascii="宋体" w:hAnsi="宋体" w:cs="宋体"/>
          <w:color w:val="000000"/>
          <w:sz w:val="28"/>
          <w:szCs w:val="28"/>
        </w:rPr>
        <w:t>★</w:t>
      </w:r>
      <w:r>
        <w:rPr>
          <w:rFonts w:hint="eastAsia" w:ascii="宋体" w:hAnsi="宋体"/>
          <w:b/>
          <w:color w:val="000000"/>
          <w:sz w:val="28"/>
          <w:szCs w:val="28"/>
        </w:rPr>
        <w:t>”项）响应表</w:t>
      </w:r>
    </w:p>
    <w:p>
      <w:pPr>
        <w:spacing w:line="360" w:lineRule="auto"/>
        <w:ind w:left="1589"/>
        <w:rPr>
          <w:rFonts w:ascii="宋体" w:hAnsi="宋体"/>
          <w:b/>
          <w:color w:val="000000"/>
          <w:sz w:val="28"/>
          <w:szCs w:val="28"/>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649"/>
        <w:gridCol w:w="1842"/>
        <w:gridCol w:w="1917"/>
        <w:gridCol w:w="427"/>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pPr>
              <w:jc w:val="center"/>
              <w:rPr>
                <w:rFonts w:ascii="宋体" w:hAnsi="宋体"/>
                <w:b/>
                <w:color w:val="000000"/>
                <w:szCs w:val="21"/>
              </w:rPr>
            </w:pPr>
            <w:r>
              <w:rPr>
                <w:rFonts w:hint="eastAsia" w:ascii="宋体" w:hAnsi="宋体"/>
                <w:b/>
                <w:color w:val="000000"/>
                <w:szCs w:val="21"/>
              </w:rPr>
              <w:t>序号</w:t>
            </w:r>
          </w:p>
        </w:tc>
        <w:tc>
          <w:tcPr>
            <w:tcW w:w="3649" w:type="dxa"/>
            <w:vAlign w:val="center"/>
          </w:tcPr>
          <w:p>
            <w:pPr>
              <w:jc w:val="center"/>
              <w:rPr>
                <w:rFonts w:ascii="宋体" w:hAnsi="宋体"/>
                <w:b/>
                <w:color w:val="000000"/>
                <w:szCs w:val="21"/>
              </w:rPr>
            </w:pPr>
            <w:r>
              <w:rPr>
                <w:rFonts w:hint="eastAsia" w:ascii="宋体" w:hAnsi="宋体"/>
                <w:b/>
                <w:color w:val="000000"/>
                <w:szCs w:val="21"/>
              </w:rPr>
              <w:t>招标要求</w:t>
            </w:r>
          </w:p>
        </w:tc>
        <w:tc>
          <w:tcPr>
            <w:tcW w:w="1842" w:type="dxa"/>
            <w:vAlign w:val="center"/>
          </w:tcPr>
          <w:p>
            <w:pPr>
              <w:jc w:val="center"/>
              <w:rPr>
                <w:rFonts w:ascii="宋体" w:hAnsi="宋体"/>
                <w:b/>
                <w:color w:val="000000"/>
                <w:szCs w:val="21"/>
              </w:rPr>
            </w:pPr>
            <w:r>
              <w:rPr>
                <w:rFonts w:hint="eastAsia" w:ascii="宋体" w:hAnsi="宋体"/>
                <w:b/>
                <w:color w:val="000000"/>
                <w:szCs w:val="21"/>
              </w:rPr>
              <w:t>按投标实际响应情况填写</w:t>
            </w:r>
          </w:p>
        </w:tc>
        <w:tc>
          <w:tcPr>
            <w:tcW w:w="1917" w:type="dxa"/>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0" w:type="auto"/>
            <w:vAlign w:val="center"/>
          </w:tcPr>
          <w:p>
            <w:pPr>
              <w:jc w:val="center"/>
              <w:rPr>
                <w:rFonts w:ascii="宋体" w:hAnsi="宋体"/>
                <w:b/>
                <w:color w:val="000000"/>
                <w:szCs w:val="21"/>
              </w:rPr>
            </w:pPr>
            <w:r>
              <w:rPr>
                <w:rFonts w:hint="eastAsia" w:ascii="宋体" w:hAnsi="宋体"/>
                <w:b/>
                <w:color w:val="000000"/>
                <w:szCs w:val="21"/>
              </w:rPr>
              <w:t>偏离简述</w:t>
            </w:r>
          </w:p>
        </w:tc>
        <w:tc>
          <w:tcPr>
            <w:tcW w:w="0" w:type="auto"/>
            <w:vAlign w:val="center"/>
          </w:tcPr>
          <w:p>
            <w:pPr>
              <w:spacing w:line="360" w:lineRule="auto"/>
              <w:jc w:val="center"/>
              <w:rPr>
                <w:rFonts w:ascii="宋体" w:hAnsi="宋体"/>
                <w:b/>
                <w:bCs/>
                <w:color w:val="000000"/>
                <w:szCs w:val="21"/>
              </w:rPr>
            </w:pPr>
            <w:r>
              <w:rPr>
                <w:rFonts w:hint="eastAsia" w:ascii="宋体" w:hAnsi="宋体"/>
                <w:b/>
                <w:bCs/>
                <w:color w:val="00000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olor w:val="000000"/>
                <w:szCs w:val="21"/>
              </w:rPr>
            </w:pPr>
            <w:r>
              <w:rPr>
                <w:rFonts w:hint="eastAsia" w:ascii="宋体" w:hAnsi="宋体"/>
                <w:color w:val="000000"/>
                <w:szCs w:val="21"/>
              </w:rPr>
              <w:t>1</w:t>
            </w:r>
          </w:p>
        </w:tc>
        <w:tc>
          <w:tcPr>
            <w:tcW w:w="3649" w:type="dxa"/>
            <w:vAlign w:val="center"/>
          </w:tcPr>
          <w:p>
            <w:pPr>
              <w:adjustRightInd w:val="0"/>
              <w:snapToGrid w:val="0"/>
              <w:rPr>
                <w:szCs w:val="21"/>
              </w:rPr>
            </w:pPr>
            <w:r>
              <w:rPr>
                <w:rFonts w:hint="eastAsia" w:ascii="宋体" w:hAnsi="宋体"/>
                <w:sz w:val="23"/>
                <w:szCs w:val="23"/>
              </w:rPr>
              <w:t>★中标人指派专业且有从事过类似工作的技术人员1名以上（含1名）在学校驻点，学校免费提供办公地点(不能用于住宿)，在国家法定工作日（含学校寒暑假）驻点学校，随时对学校的故障设备进行检修，以保证学校的办公需求。</w:t>
            </w:r>
          </w:p>
        </w:tc>
        <w:tc>
          <w:tcPr>
            <w:tcW w:w="1842" w:type="dxa"/>
            <w:vAlign w:val="center"/>
          </w:tcPr>
          <w:p>
            <w:pPr>
              <w:jc w:val="center"/>
              <w:rPr>
                <w:rFonts w:ascii="宋体" w:hAnsi="宋体"/>
                <w:color w:val="000000"/>
                <w:szCs w:val="21"/>
              </w:rPr>
            </w:pPr>
          </w:p>
        </w:tc>
        <w:tc>
          <w:tcPr>
            <w:tcW w:w="1917" w:type="dxa"/>
            <w:vAlign w:val="center"/>
          </w:tcPr>
          <w:p>
            <w:pPr>
              <w:jc w:val="center"/>
              <w:rPr>
                <w:rFonts w:ascii="宋体" w:hAnsi="宋体"/>
                <w:color w:val="000000"/>
                <w:szCs w:val="21"/>
              </w:rPr>
            </w:pPr>
          </w:p>
        </w:tc>
        <w:tc>
          <w:tcPr>
            <w:tcW w:w="0" w:type="auto"/>
            <w:vAlign w:val="center"/>
          </w:tcPr>
          <w:p>
            <w:pPr>
              <w:jc w:val="center"/>
              <w:rPr>
                <w:rFonts w:ascii="宋体" w:hAnsi="宋体"/>
                <w:color w:val="000000"/>
                <w:szCs w:val="21"/>
              </w:rPr>
            </w:pPr>
          </w:p>
        </w:tc>
        <w:tc>
          <w:tcPr>
            <w:tcW w:w="0" w:type="auto"/>
            <w:vAlign w:val="center"/>
          </w:tcPr>
          <w:p>
            <w:pPr>
              <w:jc w:val="cente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olor w:val="000000"/>
                <w:szCs w:val="21"/>
              </w:rPr>
            </w:pPr>
            <w:r>
              <w:rPr>
                <w:rFonts w:hint="eastAsia" w:ascii="宋体" w:hAnsi="宋体"/>
                <w:color w:val="000000"/>
                <w:szCs w:val="21"/>
              </w:rPr>
              <w:t>2</w:t>
            </w:r>
          </w:p>
        </w:tc>
        <w:tc>
          <w:tcPr>
            <w:tcW w:w="3649" w:type="dxa"/>
            <w:vAlign w:val="center"/>
          </w:tcPr>
          <w:p>
            <w:pPr>
              <w:adjustRightInd w:val="0"/>
              <w:snapToGrid w:val="0"/>
            </w:pPr>
            <w:r>
              <w:rPr>
                <w:rFonts w:hint="eastAsia" w:cs="Times New Roman" w:asciiTheme="majorEastAsia" w:hAnsiTheme="majorEastAsia" w:eastAsiaTheme="majorEastAsia"/>
                <w:sz w:val="24"/>
                <w:lang w:val="en-US" w:eastAsia="zh-CN"/>
              </w:rPr>
              <w:t>★只有涉及到硬件升级或者其他超出不合理的部分，则需单独付费外，其他均要求是保障设备正常运转的维修及更换硬件等服务项目已包含在本次总预算中，不单独付费。</w:t>
            </w:r>
          </w:p>
        </w:tc>
        <w:tc>
          <w:tcPr>
            <w:tcW w:w="1842" w:type="dxa"/>
            <w:vAlign w:val="center"/>
          </w:tcPr>
          <w:p>
            <w:pPr>
              <w:jc w:val="center"/>
              <w:rPr>
                <w:rFonts w:ascii="宋体" w:hAnsi="宋体"/>
                <w:color w:val="000000"/>
                <w:szCs w:val="21"/>
              </w:rPr>
            </w:pPr>
          </w:p>
        </w:tc>
        <w:tc>
          <w:tcPr>
            <w:tcW w:w="1917" w:type="dxa"/>
            <w:vAlign w:val="center"/>
          </w:tcPr>
          <w:p>
            <w:pPr>
              <w:jc w:val="center"/>
              <w:rPr>
                <w:rFonts w:ascii="宋体" w:hAnsi="宋体"/>
                <w:color w:val="000000"/>
                <w:szCs w:val="21"/>
              </w:rPr>
            </w:pPr>
          </w:p>
        </w:tc>
        <w:tc>
          <w:tcPr>
            <w:tcW w:w="0" w:type="auto"/>
            <w:vAlign w:val="center"/>
          </w:tcPr>
          <w:p>
            <w:pPr>
              <w:jc w:val="center"/>
              <w:rPr>
                <w:rFonts w:ascii="宋体" w:hAnsi="宋体"/>
                <w:color w:val="000000"/>
                <w:szCs w:val="21"/>
              </w:rPr>
            </w:pPr>
          </w:p>
        </w:tc>
        <w:tc>
          <w:tcPr>
            <w:tcW w:w="0" w:type="auto"/>
            <w:vAlign w:val="center"/>
          </w:tcPr>
          <w:p>
            <w:pPr>
              <w:jc w:val="center"/>
              <w:rPr>
                <w:rFonts w:ascii="宋体" w:hAnsi="宋体"/>
                <w:color w:val="000000"/>
                <w:szCs w:val="21"/>
              </w:rPr>
            </w:pPr>
            <w:r>
              <w:rPr>
                <w:rFonts w:hint="eastAsia" w:ascii="宋体" w:hAnsi="宋体"/>
                <w:color w:val="000000"/>
                <w:szCs w:val="21"/>
              </w:rPr>
              <w:t>见（）页</w:t>
            </w:r>
          </w:p>
        </w:tc>
      </w:tr>
    </w:tbl>
    <w:p>
      <w:pPr>
        <w:rPr>
          <w:rFonts w:ascii="宋体" w:hAnsi="宋体"/>
          <w:color w:val="000000"/>
          <w:szCs w:val="21"/>
        </w:rPr>
      </w:pPr>
      <w:r>
        <w:rPr>
          <w:rFonts w:hint="eastAsia" w:ascii="宋体" w:hAnsi="宋体"/>
          <w:color w:val="000000"/>
          <w:szCs w:val="21"/>
        </w:rPr>
        <w:t>注：</w:t>
      </w:r>
    </w:p>
    <w:p>
      <w:pPr>
        <w:rPr>
          <w:rFonts w:ascii="宋体" w:hAnsi="宋体"/>
          <w:color w:val="000000"/>
          <w:szCs w:val="21"/>
          <w:lang w:val="en-GB"/>
        </w:rPr>
      </w:pPr>
      <w:r>
        <w:rPr>
          <w:rFonts w:hint="eastAsia" w:ascii="宋体" w:hAnsi="宋体"/>
          <w:color w:val="000000"/>
          <w:szCs w:val="21"/>
        </w:rPr>
        <w:t>1、投标人须对应招标文件“采购项目内容”中的</w:t>
      </w:r>
      <w:r>
        <w:rPr>
          <w:rFonts w:hint="eastAsia" w:ascii="宋体" w:hAnsi="宋体"/>
          <w:color w:val="000000"/>
          <w:szCs w:val="21"/>
          <w:lang w:val="en-GB"/>
        </w:rPr>
        <w:t>“</w:t>
      </w:r>
      <w:r>
        <w:rPr>
          <w:rFonts w:hint="eastAsia" w:ascii="宋体" w:hAnsi="宋体" w:cs="宋体"/>
          <w:color w:val="000000"/>
          <w:szCs w:val="21"/>
        </w:rPr>
        <w:t>★</w:t>
      </w:r>
      <w:r>
        <w:rPr>
          <w:rFonts w:hint="eastAsia" w:ascii="宋体" w:hAnsi="宋体"/>
          <w:color w:val="000000"/>
          <w:szCs w:val="21"/>
          <w:lang w:val="en-GB"/>
        </w:rPr>
        <w:t>”项</w:t>
      </w:r>
      <w:r>
        <w:rPr>
          <w:rFonts w:hint="eastAsia" w:ascii="宋体" w:hAnsi="宋体"/>
          <w:color w:val="000000"/>
          <w:szCs w:val="21"/>
        </w:rPr>
        <w:t>内容逐条响应。如有缺漏，缺漏项视同不符合招标要求。</w:t>
      </w:r>
      <w:r>
        <w:rPr>
          <w:rFonts w:hint="eastAsia" w:ascii="宋体" w:hAnsi="宋体"/>
          <w:color w:val="000000"/>
          <w:szCs w:val="21"/>
          <w:lang w:val="en-GB"/>
        </w:rPr>
        <w:t>打“</w:t>
      </w:r>
      <w:r>
        <w:rPr>
          <w:rFonts w:hint="eastAsia" w:ascii="宋体" w:hAnsi="宋体" w:cs="宋体"/>
          <w:color w:val="000000"/>
          <w:szCs w:val="21"/>
        </w:rPr>
        <w:t>★</w:t>
      </w:r>
      <w:r>
        <w:rPr>
          <w:rFonts w:hint="eastAsia" w:ascii="宋体" w:hAnsi="宋体"/>
          <w:color w:val="000000"/>
          <w:szCs w:val="21"/>
          <w:lang w:val="en-GB"/>
        </w:rPr>
        <w:t>”项为不可负偏离的重要项。</w:t>
      </w:r>
    </w:p>
    <w:p>
      <w:pPr>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投标人响应采购需求应具体、明确，含糊不清、不确切或伪造、变造证明材料的，按照不完全响应或者完全不响应处理。</w:t>
      </w:r>
    </w:p>
    <w:p>
      <w:pPr>
        <w:rPr>
          <w:rFonts w:ascii="宋体" w:hAnsi="宋体"/>
          <w:color w:val="000000"/>
          <w:szCs w:val="21"/>
        </w:rPr>
      </w:pPr>
      <w:r>
        <w:rPr>
          <w:rFonts w:hint="eastAsia" w:ascii="宋体" w:hAnsi="宋体"/>
          <w:color w:val="000000"/>
          <w:szCs w:val="21"/>
          <w:lang w:val="en-GB"/>
        </w:rPr>
        <w:t>3、本表内容不得擅自修改。</w:t>
      </w:r>
    </w:p>
    <w:p>
      <w:pPr>
        <w:spacing w:line="560" w:lineRule="exact"/>
        <w:rPr>
          <w:rFonts w:ascii="宋体" w:hAnsi="宋体"/>
          <w:b/>
          <w:color w:val="000000"/>
          <w:sz w:val="28"/>
          <w:szCs w:val="28"/>
        </w:rPr>
      </w:pPr>
      <w:r>
        <w:rPr>
          <w:rFonts w:hint="eastAsia" w:ascii="宋体" w:hAnsi="宋体"/>
          <w:b/>
          <w:color w:val="000000"/>
          <w:szCs w:val="21"/>
          <w:lang w:val="en-GB"/>
        </w:rPr>
        <w:t>4、</w:t>
      </w:r>
      <w:r>
        <w:rPr>
          <w:rFonts w:hint="eastAsia" w:ascii="宋体" w:hAnsi="宋体"/>
          <w:b/>
          <w:color w:val="000000"/>
          <w:szCs w:val="21"/>
        </w:rPr>
        <w:t>如有要求提供授权证明文件、承诺等</w:t>
      </w:r>
      <w:r>
        <w:rPr>
          <w:rFonts w:hint="eastAsia" w:ascii="宋体" w:hAnsi="宋体"/>
          <w:b/>
          <w:color w:val="000000"/>
          <w:szCs w:val="21"/>
          <w:lang w:val="en-GB"/>
        </w:rPr>
        <w:t>，请附授权证明文件、承诺函，并注明在投标文件第几页。</w:t>
      </w:r>
    </w:p>
    <w:p>
      <w:pPr>
        <w:spacing w:line="560" w:lineRule="exact"/>
        <w:ind w:left="568"/>
        <w:rPr>
          <w:rFonts w:ascii="宋体" w:hAnsi="宋体"/>
          <w:b/>
          <w:color w:val="000000"/>
          <w:sz w:val="28"/>
          <w:szCs w:val="28"/>
        </w:rPr>
      </w:pPr>
    </w:p>
    <w:p>
      <w:pPr>
        <w:spacing w:line="560" w:lineRule="exact"/>
        <w:ind w:left="568"/>
        <w:rPr>
          <w:rFonts w:ascii="宋体" w:hAnsi="宋体"/>
          <w:b/>
          <w:color w:val="000000"/>
          <w:sz w:val="28"/>
          <w:szCs w:val="28"/>
        </w:rPr>
      </w:pPr>
    </w:p>
    <w:p>
      <w:pPr>
        <w:pStyle w:val="2"/>
        <w:rPr>
          <w:rFonts w:ascii="宋体" w:hAnsi="宋体"/>
          <w:b/>
          <w:color w:val="000000"/>
          <w:sz w:val="28"/>
          <w:szCs w:val="28"/>
        </w:rPr>
      </w:pPr>
    </w:p>
    <w:p>
      <w:pPr>
        <w:rPr>
          <w:rFonts w:ascii="宋体" w:hAnsi="宋体"/>
          <w:b/>
          <w:color w:val="000000"/>
          <w:sz w:val="28"/>
          <w:szCs w:val="28"/>
        </w:rPr>
      </w:pPr>
    </w:p>
    <w:p>
      <w:pPr>
        <w:pStyle w:val="2"/>
        <w:rPr>
          <w:rFonts w:ascii="宋体" w:hAnsi="宋体"/>
          <w:b/>
          <w:color w:val="000000"/>
          <w:sz w:val="28"/>
          <w:szCs w:val="28"/>
        </w:rPr>
      </w:pPr>
    </w:p>
    <w:p>
      <w:pPr>
        <w:rPr>
          <w:rFonts w:ascii="宋体" w:hAnsi="宋体"/>
          <w:b/>
          <w:color w:val="000000"/>
          <w:sz w:val="28"/>
          <w:szCs w:val="28"/>
        </w:rPr>
      </w:pPr>
    </w:p>
    <w:p>
      <w:pPr>
        <w:spacing w:line="560" w:lineRule="exact"/>
        <w:rPr>
          <w:rFonts w:ascii="宋体" w:hAnsi="宋体"/>
          <w:b/>
          <w:color w:val="000000"/>
          <w:sz w:val="28"/>
          <w:szCs w:val="28"/>
        </w:rPr>
      </w:pPr>
      <w:bookmarkStart w:id="150" w:name="_GoBack"/>
      <w:bookmarkEnd w:id="150"/>
      <w:r>
        <w:rPr>
          <w:rFonts w:hint="eastAsia" w:ascii="宋体" w:hAnsi="宋体"/>
          <w:b/>
          <w:color w:val="000000"/>
          <w:sz w:val="28"/>
          <w:szCs w:val="28"/>
        </w:rPr>
        <w:t>6.3.3 详细的技术文件</w:t>
      </w:r>
    </w:p>
    <w:p>
      <w:pPr>
        <w:adjustRightInd w:val="0"/>
        <w:snapToGrid w:val="0"/>
        <w:rPr>
          <w:rFonts w:ascii="宋体" w:hAnsi="宋体"/>
          <w:color w:val="000000"/>
          <w:kern w:val="0"/>
          <w:sz w:val="24"/>
        </w:rPr>
      </w:pPr>
    </w:p>
    <w:p>
      <w:pPr>
        <w:spacing w:line="500" w:lineRule="exact"/>
        <w:ind w:firstLine="480"/>
        <w:rPr>
          <w:rFonts w:ascii="宋体" w:hAnsi="宋体"/>
          <w:color w:val="000000"/>
          <w:sz w:val="24"/>
        </w:rPr>
      </w:pPr>
      <w:r>
        <w:rPr>
          <w:rFonts w:hint="eastAsia" w:ascii="宋体" w:hAnsi="宋体"/>
          <w:color w:val="000000"/>
          <w:sz w:val="24"/>
        </w:rPr>
        <w:t>投标人应对照《项目内容及需求》中的 各条款”及 《技术评分表》、，逐一对本项目技术要求提供书面响应：</w:t>
      </w:r>
    </w:p>
    <w:p>
      <w:pPr>
        <w:numPr>
          <w:ilvl w:val="0"/>
          <w:numId w:val="30"/>
        </w:numPr>
        <w:spacing w:line="480" w:lineRule="exact"/>
        <w:ind w:left="1276" w:hanging="850"/>
        <w:rPr>
          <w:rFonts w:ascii="宋体" w:hAnsi="宋体"/>
          <w:color w:val="000000"/>
          <w:sz w:val="24"/>
        </w:rPr>
      </w:pPr>
      <w:r>
        <w:rPr>
          <w:rFonts w:hint="eastAsia" w:ascii="宋体" w:hAnsi="宋体"/>
          <w:color w:val="000000"/>
          <w:sz w:val="24"/>
        </w:rPr>
        <w:t>技术响应程度</w:t>
      </w:r>
    </w:p>
    <w:p>
      <w:pPr>
        <w:numPr>
          <w:ilvl w:val="0"/>
          <w:numId w:val="30"/>
        </w:numPr>
        <w:spacing w:line="480" w:lineRule="exact"/>
        <w:ind w:left="1276" w:hanging="850"/>
        <w:rPr>
          <w:rFonts w:ascii="宋体" w:hAnsi="宋体"/>
          <w:color w:val="000000"/>
          <w:sz w:val="24"/>
        </w:rPr>
      </w:pPr>
      <w:r>
        <w:rPr>
          <w:rFonts w:hint="eastAsia" w:ascii="宋体" w:hAnsi="宋体"/>
          <w:color w:val="000000"/>
          <w:sz w:val="24"/>
        </w:rPr>
        <w:t>技术服务团队。</w:t>
      </w:r>
    </w:p>
    <w:p>
      <w:pPr>
        <w:numPr>
          <w:ilvl w:val="0"/>
          <w:numId w:val="30"/>
        </w:numPr>
        <w:spacing w:line="480" w:lineRule="exact"/>
        <w:ind w:left="1276" w:hanging="850"/>
        <w:rPr>
          <w:rFonts w:ascii="宋体" w:hAnsi="宋体"/>
          <w:color w:val="000000"/>
          <w:sz w:val="24"/>
        </w:rPr>
      </w:pPr>
      <w:r>
        <w:rPr>
          <w:rFonts w:hint="eastAsia" w:ascii="宋体" w:hAnsi="宋体"/>
          <w:color w:val="000000"/>
          <w:sz w:val="24"/>
        </w:rPr>
        <w:t>服务承诺及优惠承诺</w:t>
      </w:r>
    </w:p>
    <w:p>
      <w:pPr>
        <w:numPr>
          <w:ilvl w:val="0"/>
          <w:numId w:val="30"/>
        </w:numPr>
        <w:spacing w:line="480" w:lineRule="exact"/>
        <w:ind w:left="1276" w:hanging="850"/>
        <w:rPr>
          <w:rFonts w:ascii="宋体" w:hAnsi="宋体"/>
          <w:color w:val="000000"/>
          <w:sz w:val="24"/>
        </w:rPr>
      </w:pPr>
      <w:r>
        <w:rPr>
          <w:rFonts w:hint="eastAsia" w:ascii="宋体" w:hAnsi="宋体"/>
          <w:color w:val="000000"/>
          <w:sz w:val="24"/>
        </w:rPr>
        <w:t>维保方案。</w:t>
      </w:r>
    </w:p>
    <w:p>
      <w:pPr>
        <w:numPr>
          <w:ilvl w:val="0"/>
          <w:numId w:val="30"/>
        </w:numPr>
        <w:spacing w:line="480" w:lineRule="exact"/>
        <w:ind w:left="1276" w:hanging="850"/>
        <w:rPr>
          <w:rFonts w:ascii="宋体" w:hAnsi="宋体"/>
          <w:color w:val="000000"/>
          <w:sz w:val="24"/>
        </w:rPr>
      </w:pPr>
      <w:r>
        <w:rPr>
          <w:rFonts w:hint="eastAsia" w:ascii="宋体" w:hAnsi="宋体"/>
          <w:color w:val="000000"/>
          <w:sz w:val="24"/>
        </w:rPr>
        <w:t>应急方案与质量保证措施。</w:t>
      </w:r>
    </w:p>
    <w:p>
      <w:pPr>
        <w:numPr>
          <w:ilvl w:val="0"/>
          <w:numId w:val="30"/>
        </w:numPr>
        <w:spacing w:line="480" w:lineRule="exact"/>
        <w:ind w:left="1276" w:hanging="850"/>
        <w:rPr>
          <w:rFonts w:ascii="宋体" w:hAnsi="宋体"/>
          <w:color w:val="000000"/>
          <w:sz w:val="24"/>
        </w:rPr>
      </w:pPr>
      <w:r>
        <w:rPr>
          <w:rFonts w:hint="eastAsia" w:ascii="宋体" w:hAnsi="宋体"/>
          <w:color w:val="000000"/>
          <w:sz w:val="24"/>
        </w:rPr>
        <w:t>本地化服务。</w:t>
      </w:r>
    </w:p>
    <w:p>
      <w:pPr>
        <w:numPr>
          <w:ilvl w:val="0"/>
          <w:numId w:val="30"/>
        </w:numPr>
        <w:spacing w:line="480" w:lineRule="exact"/>
        <w:ind w:left="1276" w:hanging="850"/>
        <w:rPr>
          <w:rFonts w:ascii="宋体" w:hAnsi="宋体"/>
          <w:color w:val="000000"/>
          <w:sz w:val="24"/>
        </w:rPr>
      </w:pPr>
      <w:r>
        <w:rPr>
          <w:rFonts w:hint="eastAsia" w:ascii="宋体" w:hAnsi="宋体"/>
          <w:color w:val="000000"/>
          <w:sz w:val="24"/>
        </w:rPr>
        <w:t>其他技术文件。</w:t>
      </w:r>
    </w:p>
    <w:p>
      <w:pPr>
        <w:spacing w:line="480" w:lineRule="exact"/>
        <w:rPr>
          <w:rFonts w:ascii="宋体" w:hAnsi="宋体"/>
          <w:color w:val="000000"/>
          <w:sz w:val="24"/>
        </w:rPr>
      </w:pPr>
    </w:p>
    <w:p>
      <w:pPr>
        <w:spacing w:line="480" w:lineRule="exact"/>
        <w:jc w:val="center"/>
        <w:rPr>
          <w:rFonts w:ascii="宋体" w:hAnsi="宋体"/>
          <w:b/>
          <w:color w:val="000000"/>
          <w:sz w:val="28"/>
          <w:szCs w:val="28"/>
          <w:u w:val="single"/>
        </w:rPr>
      </w:pPr>
      <w:r>
        <w:rPr>
          <w:rFonts w:hint="eastAsia" w:ascii="宋体" w:hAnsi="宋体"/>
          <w:b/>
          <w:color w:val="000000"/>
          <w:sz w:val="28"/>
          <w:szCs w:val="28"/>
          <w:u w:val="single"/>
        </w:rPr>
        <w:t>注：以上所有文件均需加盖投标人公章。</w:t>
      </w:r>
    </w:p>
    <w:p>
      <w:pPr>
        <w:spacing w:line="480" w:lineRule="exact"/>
        <w:jc w:val="center"/>
        <w:rPr>
          <w:rFonts w:ascii="宋体" w:hAnsi="宋体"/>
          <w:b/>
          <w:color w:val="000000"/>
          <w:sz w:val="28"/>
          <w:szCs w:val="28"/>
          <w:u w:val="single"/>
        </w:rPr>
      </w:pPr>
    </w:p>
    <w:p>
      <w:pPr>
        <w:pStyle w:val="5"/>
      </w:pPr>
    </w:p>
    <w:p>
      <w:pPr>
        <w:pStyle w:val="5"/>
      </w:pPr>
    </w:p>
    <w:p>
      <w:pPr>
        <w:pStyle w:val="5"/>
      </w:pPr>
    </w:p>
    <w:p>
      <w:pPr>
        <w:rPr>
          <w:rFonts w:ascii="Arial" w:hAnsi="Arial"/>
        </w:rPr>
      </w:pPr>
    </w:p>
    <w:p>
      <w:pPr>
        <w:pStyle w:val="53"/>
        <w:ind w:firstLine="400"/>
        <w:rPr>
          <w:rFonts w:ascii="Arial" w:hAnsi="Arial"/>
        </w:rPr>
      </w:pPr>
    </w:p>
    <w:p>
      <w:pPr>
        <w:pStyle w:val="53"/>
        <w:ind w:firstLine="400"/>
        <w:rPr>
          <w:rFonts w:ascii="Arial" w:hAnsi="Arial"/>
        </w:rPr>
      </w:pPr>
    </w:p>
    <w:p>
      <w:pPr>
        <w:pStyle w:val="53"/>
        <w:ind w:firstLine="400"/>
        <w:rPr>
          <w:rFonts w:ascii="Arial" w:hAnsi="Arial"/>
        </w:rPr>
      </w:pPr>
    </w:p>
    <w:p>
      <w:pPr>
        <w:pStyle w:val="53"/>
        <w:ind w:firstLine="400"/>
        <w:rPr>
          <w:rFonts w:ascii="Arial" w:hAnsi="Arial"/>
        </w:rPr>
      </w:pPr>
    </w:p>
    <w:p>
      <w:pPr>
        <w:pStyle w:val="53"/>
        <w:ind w:firstLine="400"/>
        <w:rPr>
          <w:rFonts w:ascii="Arial" w:hAnsi="Arial"/>
        </w:rPr>
      </w:pPr>
    </w:p>
    <w:p>
      <w:pPr>
        <w:pStyle w:val="53"/>
        <w:ind w:firstLine="400"/>
        <w:rPr>
          <w:rFonts w:ascii="Arial" w:hAnsi="Arial"/>
        </w:rPr>
      </w:pPr>
    </w:p>
    <w:p>
      <w:pPr>
        <w:pStyle w:val="53"/>
        <w:ind w:firstLine="400"/>
        <w:rPr>
          <w:rFonts w:ascii="Arial" w:hAnsi="Arial"/>
        </w:rPr>
      </w:pPr>
    </w:p>
    <w:p>
      <w:pPr>
        <w:pStyle w:val="53"/>
        <w:ind w:firstLine="400"/>
        <w:rPr>
          <w:rFonts w:ascii="Arial" w:hAnsi="Arial"/>
        </w:rPr>
      </w:pPr>
    </w:p>
    <w:p/>
    <w:p>
      <w:pPr>
        <w:pStyle w:val="5"/>
      </w:pPr>
    </w:p>
    <w:p/>
    <w:p>
      <w:pPr>
        <w:pStyle w:val="5"/>
      </w:pPr>
      <w:r>
        <w:rPr>
          <w:rFonts w:hint="eastAsia"/>
        </w:rPr>
        <w:t>6.4 商务文件</w:t>
      </w:r>
      <w:bookmarkEnd w:id="138"/>
    </w:p>
    <w:p>
      <w:pPr>
        <w:spacing w:line="560" w:lineRule="exact"/>
        <w:jc w:val="left"/>
        <w:rPr>
          <w:rFonts w:ascii="宋体" w:hAnsi="宋体"/>
          <w:b/>
          <w:color w:val="000000"/>
          <w:sz w:val="24"/>
        </w:rPr>
      </w:pPr>
      <w:r>
        <w:rPr>
          <w:rFonts w:hint="eastAsia" w:ascii="宋体" w:hAnsi="宋体"/>
          <w:b/>
          <w:color w:val="000000"/>
          <w:sz w:val="24"/>
        </w:rPr>
        <w:t>6.4.1商务响应表</w:t>
      </w:r>
    </w:p>
    <w:p>
      <w:pPr>
        <w:rPr>
          <w:color w:val="000000"/>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b/>
                <w:bCs/>
                <w:color w:val="000000"/>
                <w:szCs w:val="21"/>
              </w:rPr>
            </w:pPr>
            <w:r>
              <w:rPr>
                <w:rFonts w:hint="eastAsia" w:ascii="宋体" w:hAnsi="宋体"/>
                <w:b/>
                <w:bCs/>
                <w:color w:val="000000"/>
                <w:szCs w:val="21"/>
              </w:rPr>
              <w:t>序号</w:t>
            </w:r>
          </w:p>
        </w:tc>
        <w:tc>
          <w:tcPr>
            <w:tcW w:w="1694" w:type="dxa"/>
            <w:vAlign w:val="center"/>
          </w:tcPr>
          <w:p>
            <w:pPr>
              <w:jc w:val="center"/>
              <w:rPr>
                <w:rFonts w:ascii="宋体" w:hAnsi="宋体"/>
                <w:b/>
                <w:bCs/>
                <w:color w:val="000000"/>
                <w:szCs w:val="21"/>
              </w:rPr>
            </w:pPr>
            <w:r>
              <w:rPr>
                <w:rFonts w:hint="eastAsia" w:ascii="宋体" w:hAnsi="宋体"/>
                <w:b/>
                <w:bCs/>
                <w:color w:val="000000"/>
                <w:szCs w:val="21"/>
              </w:rPr>
              <w:t>商务条款序号</w:t>
            </w:r>
          </w:p>
        </w:tc>
        <w:tc>
          <w:tcPr>
            <w:tcW w:w="2534" w:type="dxa"/>
            <w:vAlign w:val="center"/>
          </w:tcPr>
          <w:p>
            <w:pPr>
              <w:jc w:val="center"/>
              <w:rPr>
                <w:rFonts w:ascii="宋体" w:hAnsi="宋体"/>
                <w:b/>
                <w:bCs/>
                <w:color w:val="000000"/>
                <w:szCs w:val="21"/>
              </w:rPr>
            </w:pPr>
            <w:r>
              <w:rPr>
                <w:rFonts w:hint="eastAsia" w:ascii="宋体" w:hAnsi="宋体"/>
                <w:b/>
                <w:bCs/>
                <w:color w:val="000000"/>
                <w:szCs w:val="21"/>
              </w:rPr>
              <w:t>条款内容</w:t>
            </w:r>
          </w:p>
        </w:tc>
        <w:tc>
          <w:tcPr>
            <w:tcW w:w="1084" w:type="dxa"/>
            <w:vAlign w:val="center"/>
          </w:tcPr>
          <w:p>
            <w:pPr>
              <w:jc w:val="center"/>
              <w:rPr>
                <w:rFonts w:ascii="宋体" w:hAnsi="宋体"/>
                <w:b/>
                <w:bCs/>
                <w:color w:val="000000"/>
                <w:szCs w:val="21"/>
              </w:rPr>
            </w:pPr>
            <w:r>
              <w:rPr>
                <w:rFonts w:hint="eastAsia" w:ascii="宋体" w:hAnsi="宋体"/>
                <w:b/>
                <w:bCs/>
                <w:color w:val="000000"/>
                <w:szCs w:val="21"/>
              </w:rPr>
              <w:t>是否响应</w:t>
            </w:r>
          </w:p>
        </w:tc>
        <w:tc>
          <w:tcPr>
            <w:tcW w:w="2541" w:type="dxa"/>
            <w:vAlign w:val="center"/>
          </w:tcPr>
          <w:p>
            <w:pPr>
              <w:jc w:val="center"/>
              <w:rPr>
                <w:rFonts w:ascii="宋体" w:hAnsi="宋体"/>
                <w:b/>
                <w:bCs/>
                <w:color w:val="000000"/>
                <w:szCs w:val="21"/>
              </w:rPr>
            </w:pPr>
            <w:r>
              <w:rPr>
                <w:rFonts w:hint="eastAsia" w:ascii="宋体" w:hAnsi="宋体"/>
                <w:b/>
                <w:bCs/>
                <w:color w:val="000000"/>
                <w:szCs w:val="21"/>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1</w:t>
            </w:r>
          </w:p>
        </w:tc>
        <w:tc>
          <w:tcPr>
            <w:tcW w:w="1694" w:type="dxa"/>
            <w:vAlign w:val="center"/>
          </w:tcPr>
          <w:p>
            <w:pPr>
              <w:rPr>
                <w:rFonts w:ascii="宋体" w:hAnsi="宋体"/>
                <w:color w:val="000000"/>
                <w:szCs w:val="21"/>
              </w:rPr>
            </w:pPr>
          </w:p>
        </w:tc>
        <w:tc>
          <w:tcPr>
            <w:tcW w:w="2534" w:type="dxa"/>
            <w:vAlign w:val="center"/>
          </w:tcPr>
          <w:p>
            <w:pPr>
              <w:pStyle w:val="106"/>
              <w:keepNext w:val="0"/>
              <w:adjustRightInd/>
              <w:spacing w:before="0" w:after="0" w:line="240" w:lineRule="auto"/>
              <w:textAlignment w:val="auto"/>
              <w:rPr>
                <w:rFonts w:ascii="宋体" w:hAnsi="宋体"/>
                <w:snapToGrid/>
                <w:color w:val="000000"/>
                <w:spacing w:val="0"/>
                <w:kern w:val="2"/>
                <w:sz w:val="21"/>
                <w:szCs w:val="21"/>
              </w:rPr>
            </w:pPr>
          </w:p>
        </w:tc>
        <w:tc>
          <w:tcPr>
            <w:tcW w:w="1084" w:type="dxa"/>
            <w:vAlign w:val="center"/>
          </w:tcPr>
          <w:p>
            <w:pPr>
              <w:pStyle w:val="106"/>
              <w:keepNext w:val="0"/>
              <w:adjustRightInd/>
              <w:spacing w:before="0" w:after="0" w:line="240" w:lineRule="auto"/>
              <w:textAlignment w:val="auto"/>
              <w:rPr>
                <w:rFonts w:ascii="宋体" w:hAnsi="宋体"/>
                <w:snapToGrid/>
                <w:color w:val="000000"/>
                <w:spacing w:val="0"/>
                <w:kern w:val="2"/>
                <w:sz w:val="21"/>
                <w:szCs w:val="21"/>
              </w:rPr>
            </w:pPr>
          </w:p>
        </w:tc>
        <w:tc>
          <w:tcPr>
            <w:tcW w:w="2541" w:type="dxa"/>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2</w:t>
            </w:r>
          </w:p>
        </w:tc>
        <w:tc>
          <w:tcPr>
            <w:tcW w:w="1694" w:type="dxa"/>
            <w:vAlign w:val="center"/>
          </w:tcPr>
          <w:p>
            <w:pPr>
              <w:rPr>
                <w:rFonts w:ascii="宋体" w:hAnsi="宋体"/>
                <w:color w:val="000000"/>
                <w:szCs w:val="21"/>
              </w:rPr>
            </w:pPr>
          </w:p>
        </w:tc>
        <w:tc>
          <w:tcPr>
            <w:tcW w:w="2534" w:type="dxa"/>
            <w:vAlign w:val="center"/>
          </w:tcPr>
          <w:p>
            <w:pPr>
              <w:pStyle w:val="106"/>
              <w:keepNext w:val="0"/>
              <w:adjustRightInd/>
              <w:spacing w:before="0" w:after="0" w:line="240" w:lineRule="auto"/>
              <w:textAlignment w:val="auto"/>
              <w:rPr>
                <w:rFonts w:ascii="宋体" w:hAnsi="宋体"/>
                <w:snapToGrid/>
                <w:color w:val="000000"/>
                <w:spacing w:val="0"/>
                <w:kern w:val="2"/>
                <w:sz w:val="21"/>
                <w:szCs w:val="21"/>
              </w:rPr>
            </w:pPr>
          </w:p>
        </w:tc>
        <w:tc>
          <w:tcPr>
            <w:tcW w:w="1084" w:type="dxa"/>
            <w:vAlign w:val="center"/>
          </w:tcPr>
          <w:p>
            <w:pPr>
              <w:pStyle w:val="106"/>
              <w:keepNext w:val="0"/>
              <w:adjustRightInd/>
              <w:spacing w:before="0" w:after="0" w:line="240" w:lineRule="auto"/>
              <w:textAlignment w:val="auto"/>
              <w:rPr>
                <w:rFonts w:ascii="宋体" w:hAnsi="宋体"/>
                <w:snapToGrid/>
                <w:color w:val="000000"/>
                <w:spacing w:val="0"/>
                <w:kern w:val="2"/>
                <w:sz w:val="21"/>
                <w:szCs w:val="21"/>
              </w:rPr>
            </w:pPr>
          </w:p>
        </w:tc>
        <w:tc>
          <w:tcPr>
            <w:tcW w:w="2541" w:type="dxa"/>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3</w:t>
            </w:r>
          </w:p>
        </w:tc>
        <w:tc>
          <w:tcPr>
            <w:tcW w:w="1694" w:type="dxa"/>
            <w:vAlign w:val="center"/>
          </w:tcPr>
          <w:p>
            <w:pPr>
              <w:rPr>
                <w:rFonts w:ascii="宋体" w:hAnsi="宋体"/>
                <w:color w:val="000000"/>
                <w:szCs w:val="21"/>
              </w:rPr>
            </w:pPr>
          </w:p>
        </w:tc>
        <w:tc>
          <w:tcPr>
            <w:tcW w:w="2534" w:type="dxa"/>
            <w:vAlign w:val="center"/>
          </w:tcPr>
          <w:p>
            <w:pPr>
              <w:jc w:val="center"/>
              <w:rPr>
                <w:rFonts w:ascii="宋体" w:hAnsi="宋体"/>
                <w:color w:val="000000"/>
                <w:szCs w:val="21"/>
              </w:rPr>
            </w:pPr>
          </w:p>
        </w:tc>
        <w:tc>
          <w:tcPr>
            <w:tcW w:w="1084" w:type="dxa"/>
            <w:vAlign w:val="center"/>
          </w:tcPr>
          <w:p>
            <w:pPr>
              <w:jc w:val="center"/>
              <w:rPr>
                <w:rFonts w:ascii="宋体" w:hAnsi="宋体"/>
                <w:color w:val="000000"/>
                <w:szCs w:val="21"/>
              </w:rPr>
            </w:pPr>
          </w:p>
        </w:tc>
        <w:tc>
          <w:tcPr>
            <w:tcW w:w="2541" w:type="dxa"/>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rPr>
                <w:rFonts w:ascii="宋体" w:hAnsi="宋体"/>
                <w:color w:val="000000"/>
                <w:szCs w:val="21"/>
              </w:rPr>
            </w:pPr>
            <w:r>
              <w:rPr>
                <w:rFonts w:hint="eastAsia" w:ascii="宋体" w:hAnsi="宋体"/>
                <w:color w:val="000000"/>
                <w:szCs w:val="21"/>
              </w:rPr>
              <w:t xml:space="preserve">  4</w:t>
            </w:r>
          </w:p>
        </w:tc>
        <w:tc>
          <w:tcPr>
            <w:tcW w:w="1694" w:type="dxa"/>
            <w:vAlign w:val="center"/>
          </w:tcPr>
          <w:p>
            <w:pPr>
              <w:rPr>
                <w:rFonts w:ascii="宋体" w:hAnsi="宋体"/>
                <w:color w:val="000000"/>
                <w:szCs w:val="21"/>
              </w:rPr>
            </w:pPr>
          </w:p>
        </w:tc>
        <w:tc>
          <w:tcPr>
            <w:tcW w:w="2534" w:type="dxa"/>
            <w:vAlign w:val="center"/>
          </w:tcPr>
          <w:p>
            <w:pPr>
              <w:jc w:val="center"/>
              <w:rPr>
                <w:rFonts w:ascii="宋体" w:hAnsi="宋体"/>
                <w:color w:val="000000"/>
                <w:szCs w:val="21"/>
              </w:rPr>
            </w:pPr>
          </w:p>
        </w:tc>
        <w:tc>
          <w:tcPr>
            <w:tcW w:w="1084" w:type="dxa"/>
            <w:vAlign w:val="center"/>
          </w:tcPr>
          <w:p>
            <w:pPr>
              <w:jc w:val="center"/>
              <w:rPr>
                <w:rFonts w:ascii="宋体" w:hAnsi="宋体"/>
                <w:color w:val="000000"/>
                <w:szCs w:val="21"/>
              </w:rPr>
            </w:pPr>
          </w:p>
        </w:tc>
        <w:tc>
          <w:tcPr>
            <w:tcW w:w="2541" w:type="dxa"/>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5</w:t>
            </w:r>
          </w:p>
        </w:tc>
        <w:tc>
          <w:tcPr>
            <w:tcW w:w="1694" w:type="dxa"/>
            <w:vAlign w:val="center"/>
          </w:tcPr>
          <w:p>
            <w:pPr>
              <w:rPr>
                <w:rFonts w:ascii="宋体" w:hAnsi="宋体"/>
                <w:i/>
                <w:iCs/>
                <w:color w:val="000000"/>
                <w:szCs w:val="21"/>
              </w:rPr>
            </w:pPr>
          </w:p>
        </w:tc>
        <w:tc>
          <w:tcPr>
            <w:tcW w:w="2534" w:type="dxa"/>
            <w:vAlign w:val="center"/>
          </w:tcPr>
          <w:p>
            <w:pPr>
              <w:jc w:val="center"/>
              <w:rPr>
                <w:rFonts w:ascii="宋体" w:hAnsi="宋体"/>
                <w:color w:val="000000"/>
                <w:szCs w:val="21"/>
              </w:rPr>
            </w:pPr>
          </w:p>
        </w:tc>
        <w:tc>
          <w:tcPr>
            <w:tcW w:w="1084" w:type="dxa"/>
            <w:vAlign w:val="center"/>
          </w:tcPr>
          <w:p>
            <w:pPr>
              <w:jc w:val="center"/>
              <w:rPr>
                <w:rFonts w:ascii="宋体" w:hAnsi="宋体"/>
                <w:color w:val="000000"/>
                <w:szCs w:val="21"/>
              </w:rPr>
            </w:pPr>
          </w:p>
        </w:tc>
        <w:tc>
          <w:tcPr>
            <w:tcW w:w="2541" w:type="dxa"/>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6</w:t>
            </w:r>
          </w:p>
        </w:tc>
        <w:tc>
          <w:tcPr>
            <w:tcW w:w="1694" w:type="dxa"/>
            <w:vAlign w:val="center"/>
          </w:tcPr>
          <w:p>
            <w:pPr>
              <w:rPr>
                <w:rFonts w:ascii="宋体" w:hAnsi="宋体"/>
                <w:color w:val="000000"/>
                <w:szCs w:val="21"/>
              </w:rPr>
            </w:pPr>
          </w:p>
        </w:tc>
        <w:tc>
          <w:tcPr>
            <w:tcW w:w="2534" w:type="dxa"/>
            <w:vAlign w:val="center"/>
          </w:tcPr>
          <w:p>
            <w:pPr>
              <w:jc w:val="center"/>
              <w:rPr>
                <w:rFonts w:ascii="宋体" w:hAnsi="宋体"/>
                <w:color w:val="000000"/>
                <w:szCs w:val="21"/>
              </w:rPr>
            </w:pPr>
          </w:p>
        </w:tc>
        <w:tc>
          <w:tcPr>
            <w:tcW w:w="1084" w:type="dxa"/>
            <w:vAlign w:val="center"/>
          </w:tcPr>
          <w:p>
            <w:pPr>
              <w:jc w:val="center"/>
              <w:rPr>
                <w:rFonts w:ascii="宋体" w:hAnsi="宋体"/>
                <w:color w:val="000000"/>
                <w:szCs w:val="21"/>
              </w:rPr>
            </w:pPr>
          </w:p>
        </w:tc>
        <w:tc>
          <w:tcPr>
            <w:tcW w:w="2541" w:type="dxa"/>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7</w:t>
            </w:r>
          </w:p>
        </w:tc>
        <w:tc>
          <w:tcPr>
            <w:tcW w:w="1694" w:type="dxa"/>
            <w:vAlign w:val="center"/>
          </w:tcPr>
          <w:p>
            <w:pPr>
              <w:rPr>
                <w:rFonts w:ascii="宋体" w:hAnsi="宋体"/>
                <w:color w:val="000000"/>
                <w:szCs w:val="21"/>
              </w:rPr>
            </w:pPr>
          </w:p>
        </w:tc>
        <w:tc>
          <w:tcPr>
            <w:tcW w:w="2534" w:type="dxa"/>
            <w:vAlign w:val="center"/>
          </w:tcPr>
          <w:p>
            <w:pPr>
              <w:jc w:val="center"/>
              <w:rPr>
                <w:rFonts w:ascii="宋体" w:hAnsi="宋体"/>
                <w:color w:val="000000"/>
                <w:szCs w:val="21"/>
              </w:rPr>
            </w:pPr>
          </w:p>
        </w:tc>
        <w:tc>
          <w:tcPr>
            <w:tcW w:w="1084" w:type="dxa"/>
            <w:vAlign w:val="center"/>
          </w:tcPr>
          <w:p>
            <w:pPr>
              <w:jc w:val="center"/>
              <w:rPr>
                <w:rFonts w:ascii="宋体" w:hAnsi="宋体"/>
                <w:color w:val="000000"/>
                <w:szCs w:val="21"/>
              </w:rPr>
            </w:pPr>
          </w:p>
        </w:tc>
        <w:tc>
          <w:tcPr>
            <w:tcW w:w="2541"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8</w:t>
            </w:r>
          </w:p>
        </w:tc>
        <w:tc>
          <w:tcPr>
            <w:tcW w:w="1694" w:type="dxa"/>
            <w:vAlign w:val="center"/>
          </w:tcPr>
          <w:p>
            <w:pPr>
              <w:rPr>
                <w:rFonts w:ascii="宋体" w:hAnsi="宋体"/>
                <w:color w:val="000000"/>
                <w:szCs w:val="21"/>
              </w:rPr>
            </w:pPr>
          </w:p>
        </w:tc>
        <w:tc>
          <w:tcPr>
            <w:tcW w:w="2534" w:type="dxa"/>
            <w:vAlign w:val="center"/>
          </w:tcPr>
          <w:p>
            <w:pPr>
              <w:jc w:val="center"/>
              <w:rPr>
                <w:rFonts w:ascii="宋体" w:hAnsi="宋体"/>
                <w:color w:val="000000"/>
                <w:szCs w:val="21"/>
              </w:rPr>
            </w:pPr>
          </w:p>
        </w:tc>
        <w:tc>
          <w:tcPr>
            <w:tcW w:w="1084" w:type="dxa"/>
            <w:vAlign w:val="center"/>
          </w:tcPr>
          <w:p>
            <w:pPr>
              <w:jc w:val="center"/>
              <w:rPr>
                <w:rFonts w:ascii="宋体" w:hAnsi="宋体"/>
                <w:color w:val="000000"/>
                <w:szCs w:val="21"/>
              </w:rPr>
            </w:pPr>
          </w:p>
        </w:tc>
        <w:tc>
          <w:tcPr>
            <w:tcW w:w="2541"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9</w:t>
            </w:r>
          </w:p>
        </w:tc>
        <w:tc>
          <w:tcPr>
            <w:tcW w:w="1694" w:type="dxa"/>
            <w:vAlign w:val="center"/>
          </w:tcPr>
          <w:p>
            <w:pPr>
              <w:rPr>
                <w:rFonts w:ascii="宋体" w:hAnsi="宋体"/>
                <w:color w:val="000000"/>
                <w:szCs w:val="21"/>
              </w:rPr>
            </w:pPr>
          </w:p>
        </w:tc>
        <w:tc>
          <w:tcPr>
            <w:tcW w:w="2534" w:type="dxa"/>
            <w:vAlign w:val="center"/>
          </w:tcPr>
          <w:p>
            <w:pPr>
              <w:jc w:val="center"/>
              <w:rPr>
                <w:rFonts w:ascii="宋体" w:hAnsi="宋体"/>
                <w:color w:val="000000"/>
                <w:szCs w:val="21"/>
              </w:rPr>
            </w:pPr>
          </w:p>
        </w:tc>
        <w:tc>
          <w:tcPr>
            <w:tcW w:w="1084" w:type="dxa"/>
            <w:vAlign w:val="center"/>
          </w:tcPr>
          <w:p>
            <w:pPr>
              <w:jc w:val="center"/>
              <w:rPr>
                <w:rFonts w:ascii="宋体" w:hAnsi="宋体"/>
                <w:color w:val="000000"/>
                <w:szCs w:val="21"/>
              </w:rPr>
            </w:pPr>
          </w:p>
        </w:tc>
        <w:tc>
          <w:tcPr>
            <w:tcW w:w="2541"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vAlign w:val="center"/>
          </w:tcPr>
          <w:p>
            <w:pPr>
              <w:jc w:val="center"/>
              <w:rPr>
                <w:rFonts w:ascii="宋体" w:hAnsi="宋体"/>
                <w:color w:val="000000"/>
                <w:szCs w:val="21"/>
              </w:rPr>
            </w:pPr>
            <w:r>
              <w:rPr>
                <w:rFonts w:hint="eastAsia" w:ascii="宋体" w:hAnsi="宋体"/>
                <w:color w:val="000000"/>
                <w:szCs w:val="21"/>
              </w:rPr>
              <w:t>10</w:t>
            </w:r>
          </w:p>
        </w:tc>
        <w:tc>
          <w:tcPr>
            <w:tcW w:w="1694" w:type="dxa"/>
            <w:vAlign w:val="center"/>
          </w:tcPr>
          <w:p>
            <w:pPr>
              <w:rPr>
                <w:rFonts w:ascii="宋体" w:hAnsi="宋体"/>
                <w:color w:val="000000"/>
                <w:szCs w:val="21"/>
              </w:rPr>
            </w:pPr>
          </w:p>
        </w:tc>
        <w:tc>
          <w:tcPr>
            <w:tcW w:w="2534" w:type="dxa"/>
            <w:vAlign w:val="center"/>
          </w:tcPr>
          <w:p>
            <w:pPr>
              <w:jc w:val="center"/>
              <w:rPr>
                <w:rFonts w:ascii="宋体" w:hAnsi="宋体"/>
                <w:color w:val="000000"/>
                <w:szCs w:val="21"/>
              </w:rPr>
            </w:pPr>
          </w:p>
        </w:tc>
        <w:tc>
          <w:tcPr>
            <w:tcW w:w="1084" w:type="dxa"/>
            <w:vAlign w:val="center"/>
          </w:tcPr>
          <w:p>
            <w:pPr>
              <w:jc w:val="center"/>
              <w:rPr>
                <w:rFonts w:ascii="宋体" w:hAnsi="宋体"/>
                <w:color w:val="000000"/>
                <w:szCs w:val="21"/>
              </w:rPr>
            </w:pPr>
          </w:p>
        </w:tc>
        <w:tc>
          <w:tcPr>
            <w:tcW w:w="2541" w:type="dxa"/>
            <w:vAlign w:val="center"/>
          </w:tcPr>
          <w:p>
            <w:pPr>
              <w:jc w:val="center"/>
              <w:rPr>
                <w:rFonts w:ascii="宋体" w:hAnsi="宋体"/>
                <w:color w:val="000000"/>
                <w:szCs w:val="21"/>
              </w:rPr>
            </w:pPr>
          </w:p>
        </w:tc>
      </w:tr>
    </w:tbl>
    <w:p>
      <w:pPr>
        <w:spacing w:line="0" w:lineRule="atLeast"/>
        <w:ind w:left="708" w:hanging="707" w:hangingChars="337"/>
        <w:rPr>
          <w:rFonts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1、投标人必须对应招标文件中的商务要求”等内容逐条响应。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请在“偏离概述”栏内扼要说明偏离情况，如无偏离则不需列明。</w:t>
      </w: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spacing w:line="560" w:lineRule="exact"/>
        <w:rPr>
          <w:rFonts w:ascii="宋体" w:hAnsi="宋体"/>
          <w:b/>
          <w:color w:val="000000"/>
          <w:sz w:val="24"/>
        </w:rPr>
      </w:pPr>
    </w:p>
    <w:p>
      <w:pPr>
        <w:pStyle w:val="53"/>
        <w:ind w:firstLine="0" w:firstLineChars="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0" w:firstLineChars="0"/>
        <w:rPr>
          <w:rFonts w:ascii="宋体" w:hAnsi="宋体"/>
          <w:b/>
          <w:bCs/>
          <w:color w:val="000000"/>
          <w:sz w:val="24"/>
        </w:rPr>
      </w:pPr>
    </w:p>
    <w:p>
      <w:pPr>
        <w:pStyle w:val="53"/>
        <w:ind w:firstLine="0" w:firstLineChars="0"/>
        <w:rPr>
          <w:rFonts w:ascii="宋体" w:hAnsi="宋体"/>
          <w:b/>
          <w:bCs/>
          <w:color w:val="000000"/>
          <w:sz w:val="24"/>
        </w:rPr>
      </w:pPr>
      <w:r>
        <w:rPr>
          <w:rFonts w:hint="eastAsia" w:ascii="宋体" w:hAnsi="宋体"/>
          <w:b/>
          <w:bCs/>
          <w:color w:val="000000"/>
          <w:sz w:val="24"/>
        </w:rPr>
        <w:t>6.4.2 详细的商务文件</w:t>
      </w:r>
    </w:p>
    <w:p>
      <w:pPr>
        <w:spacing w:line="360" w:lineRule="auto"/>
        <w:ind w:firstLine="480" w:firstLineChars="200"/>
        <w:rPr>
          <w:rFonts w:ascii="宋体" w:hAnsi="宋体"/>
          <w:color w:val="000000"/>
          <w:sz w:val="24"/>
        </w:rPr>
      </w:pPr>
      <w:r>
        <w:rPr>
          <w:rFonts w:hint="eastAsia" w:ascii="宋体" w:hAnsi="宋体"/>
          <w:color w:val="000000"/>
          <w:sz w:val="24"/>
        </w:rPr>
        <w:t>投标人应对照《项目内容及需求》中的 “商务要求” 及《商务评分表》，逐一提供响应本项目的商务文件：</w:t>
      </w:r>
    </w:p>
    <w:p>
      <w:pPr>
        <w:numPr>
          <w:ilvl w:val="0"/>
          <w:numId w:val="31"/>
        </w:numPr>
        <w:tabs>
          <w:tab w:val="clear" w:pos="851"/>
        </w:tabs>
        <w:spacing w:line="360" w:lineRule="auto"/>
        <w:ind w:left="1276" w:hanging="850"/>
        <w:rPr>
          <w:rFonts w:ascii="宋体" w:hAnsi="宋体"/>
          <w:color w:val="000000"/>
          <w:sz w:val="24"/>
        </w:rPr>
      </w:pPr>
      <w:r>
        <w:rPr>
          <w:rFonts w:hint="eastAsia" w:ascii="宋体" w:hAnsi="宋体"/>
          <w:color w:val="000000"/>
          <w:sz w:val="24"/>
        </w:rPr>
        <w:t>商务响应程度</w:t>
      </w:r>
    </w:p>
    <w:p>
      <w:pPr>
        <w:numPr>
          <w:ilvl w:val="0"/>
          <w:numId w:val="31"/>
        </w:numPr>
        <w:tabs>
          <w:tab w:val="clear" w:pos="851"/>
        </w:tabs>
        <w:spacing w:line="360" w:lineRule="auto"/>
        <w:ind w:left="1276" w:hanging="850"/>
        <w:rPr>
          <w:rFonts w:ascii="宋体" w:hAnsi="宋体"/>
          <w:color w:val="000000"/>
          <w:sz w:val="24"/>
        </w:rPr>
      </w:pPr>
      <w:r>
        <w:rPr>
          <w:rFonts w:hint="eastAsia" w:ascii="宋体" w:hAnsi="宋体"/>
          <w:color w:val="000000"/>
          <w:sz w:val="24"/>
        </w:rPr>
        <w:t>同类项目业绩。</w:t>
      </w:r>
    </w:p>
    <w:p>
      <w:pPr>
        <w:numPr>
          <w:ilvl w:val="0"/>
          <w:numId w:val="31"/>
        </w:numPr>
        <w:tabs>
          <w:tab w:val="clear" w:pos="851"/>
        </w:tabs>
        <w:spacing w:line="360" w:lineRule="auto"/>
        <w:ind w:left="1276" w:hanging="850"/>
        <w:rPr>
          <w:rFonts w:ascii="宋体" w:hAnsi="宋体"/>
          <w:color w:val="000000"/>
          <w:sz w:val="24"/>
        </w:rPr>
      </w:pPr>
      <w:r>
        <w:rPr>
          <w:rFonts w:hint="eastAsia" w:ascii="宋体" w:hAnsi="宋体"/>
          <w:color w:val="000000"/>
          <w:sz w:val="24"/>
        </w:rPr>
        <w:t>投标人信誉。</w:t>
      </w:r>
    </w:p>
    <w:p>
      <w:pPr>
        <w:numPr>
          <w:ilvl w:val="0"/>
          <w:numId w:val="31"/>
        </w:numPr>
        <w:tabs>
          <w:tab w:val="clear" w:pos="851"/>
        </w:tabs>
        <w:spacing w:line="360" w:lineRule="auto"/>
        <w:ind w:left="1276" w:hanging="850"/>
        <w:rPr>
          <w:rFonts w:ascii="宋体" w:hAnsi="宋体"/>
          <w:color w:val="000000"/>
          <w:sz w:val="24"/>
        </w:rPr>
      </w:pPr>
      <w:r>
        <w:rPr>
          <w:rFonts w:hint="eastAsia" w:ascii="宋体" w:hAnsi="宋体"/>
          <w:color w:val="000000"/>
          <w:sz w:val="24"/>
        </w:rPr>
        <w:t>纳税信用等级。</w:t>
      </w:r>
    </w:p>
    <w:p>
      <w:pPr>
        <w:numPr>
          <w:ilvl w:val="0"/>
          <w:numId w:val="31"/>
        </w:numPr>
        <w:tabs>
          <w:tab w:val="clear" w:pos="851"/>
        </w:tabs>
        <w:spacing w:line="360" w:lineRule="auto"/>
        <w:ind w:left="1276" w:hanging="850"/>
        <w:rPr>
          <w:rFonts w:ascii="宋体" w:hAnsi="宋体"/>
          <w:color w:val="000000"/>
          <w:sz w:val="24"/>
        </w:rPr>
      </w:pPr>
      <w:r>
        <w:rPr>
          <w:rFonts w:hint="eastAsia" w:ascii="宋体" w:hAnsi="宋体"/>
          <w:color w:val="000000"/>
          <w:sz w:val="24"/>
        </w:rPr>
        <w:t>其他商务文件。</w:t>
      </w:r>
    </w:p>
    <w:p>
      <w:pPr>
        <w:topLinePunct/>
        <w:spacing w:after="180"/>
        <w:ind w:firstLine="1265" w:firstLineChars="450"/>
        <w:rPr>
          <w:rFonts w:ascii="宋体" w:hAnsi="宋体"/>
          <w:b/>
          <w:color w:val="000000"/>
          <w:sz w:val="28"/>
          <w:szCs w:val="28"/>
        </w:rPr>
      </w:pPr>
      <w:r>
        <w:rPr>
          <w:rFonts w:hint="eastAsia" w:ascii="宋体" w:hAnsi="宋体"/>
          <w:b/>
          <w:color w:val="000000"/>
          <w:sz w:val="28"/>
          <w:szCs w:val="28"/>
          <w:u w:val="single"/>
        </w:rPr>
        <w:t>注：以上所有文件均需加盖投标人公章</w:t>
      </w:r>
      <w:r>
        <w:rPr>
          <w:rFonts w:hint="eastAsia" w:ascii="宋体" w:hAnsi="宋体"/>
          <w:b/>
          <w:color w:val="000000"/>
          <w:sz w:val="28"/>
          <w:szCs w:val="28"/>
        </w:rPr>
        <w:t>。</w:t>
      </w: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adjustRightInd w:val="0"/>
        <w:snapToGrid w:val="0"/>
        <w:rPr>
          <w:rFonts w:ascii="宋体" w:hAnsi="宋体"/>
          <w:b/>
          <w:color w:val="000000"/>
          <w:sz w:val="28"/>
          <w:szCs w:val="28"/>
        </w:rPr>
      </w:pPr>
      <w:r>
        <w:rPr>
          <w:rFonts w:hint="eastAsia" w:ascii="宋体" w:hAnsi="宋体"/>
          <w:b/>
          <w:color w:val="000000"/>
          <w:sz w:val="28"/>
          <w:szCs w:val="28"/>
        </w:rPr>
        <w:t>附表：业绩一览表</w:t>
      </w:r>
    </w:p>
    <w:p>
      <w:pPr>
        <w:widowControl/>
        <w:rPr>
          <w:rFonts w:ascii="宋体" w:hAnsi="宋体"/>
          <w:color w:val="000000"/>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514"/>
        <w:gridCol w:w="2146"/>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16"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b/>
                <w:color w:val="000000"/>
                <w:sz w:val="24"/>
              </w:rPr>
            </w:pPr>
            <w:r>
              <w:rPr>
                <w:rFonts w:hint="eastAsia" w:ascii="宋体" w:hAnsi="宋体"/>
                <w:b/>
                <w:color w:val="000000"/>
                <w:sz w:val="24"/>
              </w:rPr>
              <w:t>序号</w:t>
            </w:r>
          </w:p>
        </w:tc>
        <w:tc>
          <w:tcPr>
            <w:tcW w:w="1514"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b/>
                <w:color w:val="000000"/>
                <w:sz w:val="24"/>
              </w:rPr>
            </w:pPr>
            <w:r>
              <w:rPr>
                <w:rFonts w:hint="eastAsia" w:ascii="宋体" w:hAnsi="宋体"/>
                <w:b/>
                <w:color w:val="000000"/>
                <w:sz w:val="24"/>
              </w:rPr>
              <w:t>项目名称</w:t>
            </w:r>
          </w:p>
        </w:tc>
        <w:tc>
          <w:tcPr>
            <w:tcW w:w="2146"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b/>
                <w:color w:val="000000"/>
                <w:sz w:val="24"/>
              </w:rPr>
            </w:pPr>
            <w:r>
              <w:rPr>
                <w:rFonts w:hint="eastAsia" w:ascii="宋体" w:hAnsi="宋体"/>
                <w:b/>
                <w:color w:val="000000"/>
                <w:sz w:val="24"/>
              </w:rPr>
              <w:t>合同签订时间</w:t>
            </w:r>
          </w:p>
        </w:tc>
        <w:tc>
          <w:tcPr>
            <w:tcW w:w="3043"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b/>
                <w:color w:val="000000"/>
                <w:sz w:val="24"/>
              </w:rPr>
            </w:pPr>
            <w:r>
              <w:rPr>
                <w:rFonts w:hint="eastAsia" w:ascii="宋体" w:hAnsi="宋体"/>
                <w:b/>
                <w:color w:val="000000"/>
                <w:sz w:val="24"/>
              </w:rPr>
              <w:t>合同甲方及联系方式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1</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2</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3</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r>
              <w:rPr>
                <w:rFonts w:ascii="宋体" w:hAnsi="宋体"/>
                <w:color w:val="000000"/>
                <w:sz w:val="24"/>
              </w:rPr>
              <w:t>……</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r>
    </w:tbl>
    <w:p>
      <w:pPr>
        <w:spacing w:line="0" w:lineRule="atLeast"/>
        <w:ind w:left="708" w:hanging="707" w:hangingChars="337"/>
        <w:rPr>
          <w:rFonts w:ascii="宋体" w:hAnsi="宋体"/>
          <w:color w:val="000000"/>
          <w:szCs w:val="21"/>
        </w:rPr>
      </w:pPr>
    </w:p>
    <w:p>
      <w:pPr>
        <w:adjustRightInd w:val="0"/>
        <w:snapToGrid w:val="0"/>
        <w:rPr>
          <w:rFonts w:ascii="宋体" w:hAnsi="宋体"/>
          <w:color w:val="000000"/>
          <w:sz w:val="24"/>
        </w:rPr>
      </w:pPr>
      <w:r>
        <w:rPr>
          <w:rFonts w:hint="eastAsia" w:ascii="宋体" w:hAnsi="宋体"/>
          <w:color w:val="000000"/>
          <w:sz w:val="24"/>
        </w:rPr>
        <w:t xml:space="preserve"> 注：每个业绩都必须同时提供以下加盖投标人公章的业绩证明材料，缺少任何一份材料，都作为无效业绩处理。</w:t>
      </w:r>
    </w:p>
    <w:p>
      <w:pPr>
        <w:numPr>
          <w:ilvl w:val="0"/>
          <w:numId w:val="32"/>
        </w:numPr>
        <w:adjustRightInd w:val="0"/>
        <w:snapToGrid w:val="0"/>
        <w:rPr>
          <w:rFonts w:ascii="宋体" w:hAnsi="宋体"/>
          <w:color w:val="000000"/>
          <w:sz w:val="24"/>
        </w:rPr>
      </w:pPr>
      <w:r>
        <w:rPr>
          <w:rFonts w:hint="eastAsia" w:ascii="宋体" w:hAnsi="宋体"/>
          <w:color w:val="000000"/>
          <w:sz w:val="24"/>
        </w:rPr>
        <w:t>合同关键页（关键页包括能够获知甲乙双方名称、合同标的页面及签字盖章页）复印件（合同上没有标明金额的，须提供由用户单位或使用部门出具且盖有其公章的书面的合同金额或结算金额证明原件）。</w:t>
      </w:r>
    </w:p>
    <w:p>
      <w:pPr>
        <w:pStyle w:val="53"/>
        <w:ind w:firstLine="0" w:firstLineChars="0"/>
        <w:rPr>
          <w:rFonts w:ascii="宋体" w:hAnsi="宋体"/>
          <w:color w:val="000000"/>
          <w:sz w:val="24"/>
        </w:rPr>
      </w:pPr>
      <w:r>
        <w:rPr>
          <w:rFonts w:hint="eastAsia" w:ascii="宋体" w:hAnsi="宋体"/>
          <w:color w:val="000000"/>
          <w:sz w:val="24"/>
        </w:rPr>
        <w:t>（2）对应的验收报告复印件或用户证明原件（验收报告必须盖有用户单位或验收部门公章，无验收报告的，须提供用户单位或使用部门出具的且盖有其公章的完成用户证明原件）。</w:t>
      </w:r>
    </w:p>
    <w:p>
      <w:pPr>
        <w:spacing w:line="480" w:lineRule="exact"/>
        <w:rPr>
          <w:rFonts w:ascii="宋体" w:hAnsi="宋体"/>
          <w:color w:val="000000"/>
          <w:szCs w:val="21"/>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60"/>
        <w:rPr>
          <w:rFonts w:ascii="宋体" w:hAnsi="宋体"/>
          <w:color w:val="000000"/>
          <w:sz w:val="23"/>
          <w:szCs w:val="23"/>
        </w:rPr>
      </w:pPr>
    </w:p>
    <w:p>
      <w:pPr>
        <w:pStyle w:val="53"/>
        <w:ind w:firstLine="400"/>
      </w:pPr>
    </w:p>
    <w:p>
      <w:pPr>
        <w:pStyle w:val="5"/>
        <w:spacing w:before="0" w:after="0" w:line="400" w:lineRule="exact"/>
        <w:rPr>
          <w:rFonts w:ascii="宋体" w:hAnsi="宋体"/>
          <w:b w:val="0"/>
          <w:color w:val="000000"/>
          <w:sz w:val="23"/>
          <w:szCs w:val="23"/>
        </w:rPr>
      </w:pPr>
    </w:p>
    <w:p>
      <w:pPr>
        <w:rPr>
          <w:rFonts w:ascii="宋体" w:hAnsi="宋体"/>
          <w:color w:val="000000"/>
          <w:sz w:val="23"/>
          <w:szCs w:val="23"/>
        </w:rPr>
      </w:pPr>
    </w:p>
    <w:p>
      <w:pPr>
        <w:pStyle w:val="53"/>
        <w:ind w:firstLine="460"/>
        <w:rPr>
          <w:rFonts w:ascii="宋体" w:hAnsi="宋体"/>
          <w:color w:val="000000"/>
          <w:sz w:val="23"/>
          <w:szCs w:val="23"/>
        </w:rPr>
      </w:pPr>
    </w:p>
    <w:p>
      <w:pPr>
        <w:pStyle w:val="53"/>
        <w:ind w:firstLine="0" w:firstLineChars="0"/>
        <w:rPr>
          <w:rFonts w:ascii="宋体" w:hAnsi="宋体"/>
          <w:color w:val="000000"/>
          <w:sz w:val="23"/>
          <w:szCs w:val="23"/>
        </w:rPr>
      </w:pPr>
    </w:p>
    <w:p>
      <w:pPr>
        <w:pStyle w:val="5"/>
      </w:pPr>
      <w:bookmarkStart w:id="139" w:name="_Toc7659"/>
      <w:r>
        <w:rPr>
          <w:rFonts w:hint="eastAsia"/>
        </w:rPr>
        <w:t>6.5承诺书</w:t>
      </w:r>
      <w:bookmarkEnd w:id="134"/>
      <w:bookmarkEnd w:id="139"/>
    </w:p>
    <w:p>
      <w:pPr>
        <w:widowControl/>
        <w:rPr>
          <w:rFonts w:ascii="宋体" w:hAnsi="宋体"/>
          <w:color w:val="000000"/>
          <w:sz w:val="23"/>
          <w:szCs w:val="23"/>
        </w:rPr>
      </w:pPr>
    </w:p>
    <w:p>
      <w:pPr>
        <w:ind w:firstLine="460" w:firstLineChars="200"/>
        <w:rPr>
          <w:rFonts w:ascii="宋体"/>
          <w:color w:val="000000"/>
          <w:sz w:val="23"/>
          <w:szCs w:val="23"/>
        </w:rPr>
      </w:pPr>
      <w:r>
        <w:rPr>
          <w:rFonts w:hint="eastAsia" w:ascii="宋体"/>
          <w:color w:val="000000"/>
          <w:sz w:val="23"/>
          <w:szCs w:val="23"/>
        </w:rPr>
        <w:t>投标人应详细说明在合同履行过程中的服务及相关承诺，如服务优惠、项目进度、质量保证、培训、售后维护、跟踪及有关费用负担等，格式自定，但内容必须清晰。</w:t>
      </w:r>
    </w:p>
    <w:p>
      <w:pPr>
        <w:tabs>
          <w:tab w:val="left" w:pos="676"/>
          <w:tab w:val="left" w:pos="2330"/>
          <w:tab w:val="left" w:pos="9230"/>
        </w:tabs>
        <w:autoSpaceDE w:val="0"/>
        <w:autoSpaceDN w:val="0"/>
        <w:adjustRightInd w:val="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ascii="宋体"/>
          <w:color w:val="000000"/>
          <w:sz w:val="23"/>
          <w:szCs w:val="23"/>
        </w:rPr>
        <w:br w:type="page"/>
      </w:r>
    </w:p>
    <w:p>
      <w:pPr>
        <w:pStyle w:val="5"/>
      </w:pPr>
      <w:bookmarkStart w:id="140" w:name="_Toc23159"/>
      <w:r>
        <w:rPr>
          <w:rFonts w:hint="eastAsia"/>
        </w:rPr>
        <w:t>6.6 投标资格文件</w:t>
      </w:r>
      <w:bookmarkEnd w:id="140"/>
    </w:p>
    <w:p>
      <w:pPr>
        <w:pStyle w:val="53"/>
        <w:ind w:firstLine="0" w:firstLineChars="0"/>
        <w:rPr>
          <w:rFonts w:ascii="宋体" w:hAnsi="宋体"/>
          <w:b/>
          <w:bCs/>
          <w:color w:val="000000"/>
          <w:sz w:val="24"/>
        </w:rPr>
      </w:pPr>
      <w:r>
        <w:rPr>
          <w:rFonts w:hint="eastAsia" w:ascii="宋体" w:hAnsi="宋体"/>
          <w:b/>
          <w:bCs/>
          <w:color w:val="000000"/>
          <w:sz w:val="24"/>
        </w:rPr>
        <w:t>6.6.1 关于资格文件的声明</w:t>
      </w:r>
    </w:p>
    <w:p>
      <w:pPr>
        <w:spacing w:line="42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广东财经大学  </w:t>
      </w:r>
    </w:p>
    <w:p>
      <w:pPr>
        <w:spacing w:line="420" w:lineRule="exact"/>
        <w:ind w:firstLine="480" w:firstLineChars="200"/>
        <w:rPr>
          <w:rFonts w:ascii="宋体" w:hAnsi="宋体"/>
          <w:color w:val="000000"/>
          <w:sz w:val="24"/>
        </w:rPr>
      </w:pPr>
      <w:r>
        <w:rPr>
          <w:rFonts w:hint="eastAsia" w:ascii="宋体" w:hAnsi="宋体"/>
          <w:color w:val="000000"/>
          <w:sz w:val="24"/>
        </w:rPr>
        <w:t>本签字人愿意参</w:t>
      </w:r>
      <w:r>
        <w:rPr>
          <w:rFonts w:hint="eastAsia" w:ascii="宋体" w:hAnsi="宋体"/>
          <w:b/>
          <w:color w:val="000000"/>
          <w:sz w:val="24"/>
          <w:u w:val="single"/>
        </w:rPr>
        <w:t xml:space="preserve">        （填写采购项目名称及项目编号 ）</w:t>
      </w:r>
      <w:r>
        <w:rPr>
          <w:rFonts w:hint="eastAsia" w:ascii="宋体" w:hAnsi="宋体"/>
          <w:color w:val="000000"/>
          <w:sz w:val="24"/>
        </w:rPr>
        <w:t>的投标，提供招标文件中规定的货物及服务，并承诺所递交的资格文件以及有关澄清、补充说明是准确的、真实的、有效的。</w:t>
      </w:r>
    </w:p>
    <w:p>
      <w:pPr>
        <w:spacing w:line="420" w:lineRule="exact"/>
        <w:ind w:firstLine="480" w:firstLineChars="200"/>
        <w:rPr>
          <w:rFonts w:ascii="宋体" w:hAnsi="宋体"/>
          <w:color w:val="000000"/>
          <w:sz w:val="24"/>
        </w:rPr>
      </w:pPr>
      <w:r>
        <w:rPr>
          <w:rFonts w:hint="eastAsia" w:ascii="宋体" w:hAnsi="宋体"/>
          <w:color w:val="000000"/>
          <w:sz w:val="24"/>
        </w:rPr>
        <w:t>特此声明。</w:t>
      </w:r>
    </w:p>
    <w:p>
      <w:pPr>
        <w:spacing w:line="420" w:lineRule="exact"/>
        <w:ind w:firstLine="560" w:firstLineChars="200"/>
        <w:rPr>
          <w:rFonts w:ascii="宋体" w:hAnsi="宋体"/>
          <w:color w:val="000000"/>
          <w:sz w:val="28"/>
          <w:szCs w:val="28"/>
        </w:rPr>
      </w:pPr>
    </w:p>
    <w:p>
      <w:pPr>
        <w:spacing w:line="420" w:lineRule="exact"/>
        <w:ind w:left="4599" w:leftChars="2190"/>
        <w:rPr>
          <w:rFonts w:ascii="宋体"/>
          <w:color w:val="000000"/>
          <w:sz w:val="24"/>
        </w:rPr>
      </w:pPr>
      <w:r>
        <w:rPr>
          <w:rFonts w:hint="eastAsia" w:ascii="宋体"/>
          <w:color w:val="000000"/>
          <w:sz w:val="24"/>
        </w:rPr>
        <w:t>投标人（公章）：</w:t>
      </w:r>
    </w:p>
    <w:p>
      <w:pPr>
        <w:spacing w:line="420" w:lineRule="exact"/>
        <w:ind w:left="4599" w:leftChars="2190"/>
        <w:rPr>
          <w:rFonts w:ascii="宋体"/>
          <w:color w:val="000000"/>
          <w:sz w:val="24"/>
        </w:rPr>
      </w:pPr>
      <w:r>
        <w:rPr>
          <w:rFonts w:hint="eastAsia" w:ascii="宋体"/>
          <w:color w:val="000000"/>
          <w:sz w:val="24"/>
        </w:rPr>
        <w:t>投标人地址：</w:t>
      </w:r>
    </w:p>
    <w:p>
      <w:pPr>
        <w:spacing w:line="420" w:lineRule="exact"/>
        <w:ind w:left="4599" w:leftChars="2190"/>
        <w:rPr>
          <w:rFonts w:ascii="宋体"/>
          <w:color w:val="000000"/>
          <w:sz w:val="24"/>
        </w:rPr>
      </w:pPr>
      <w:r>
        <w:rPr>
          <w:rFonts w:hint="eastAsia" w:ascii="宋体"/>
          <w:color w:val="000000"/>
          <w:sz w:val="24"/>
        </w:rPr>
        <w:t>法定代表人或代理人姓名（签名）：</w:t>
      </w:r>
    </w:p>
    <w:p>
      <w:pPr>
        <w:spacing w:line="420" w:lineRule="exact"/>
        <w:ind w:left="4599" w:leftChars="2190"/>
        <w:rPr>
          <w:rFonts w:ascii="宋体"/>
          <w:color w:val="000000"/>
          <w:sz w:val="24"/>
        </w:rPr>
      </w:pPr>
      <w:r>
        <w:rPr>
          <w:rFonts w:hint="eastAsia" w:ascii="宋体"/>
          <w:color w:val="000000"/>
          <w:sz w:val="24"/>
        </w:rPr>
        <w:t>日    期：</w:t>
      </w:r>
    </w:p>
    <w:p>
      <w:pPr>
        <w:pStyle w:val="53"/>
        <w:ind w:firstLine="0" w:firstLineChars="0"/>
        <w:rPr>
          <w:rFonts w:ascii="宋体" w:hAnsi="宋体"/>
          <w:b/>
          <w:bCs/>
          <w:color w:val="000000"/>
          <w:sz w:val="28"/>
          <w:szCs w:val="28"/>
        </w:rPr>
      </w:pPr>
    </w:p>
    <w:p>
      <w:pPr>
        <w:pStyle w:val="53"/>
        <w:ind w:firstLine="0" w:firstLineChars="0"/>
        <w:rPr>
          <w:rFonts w:ascii="宋体" w:hAnsi="宋体"/>
          <w:b/>
          <w:bCs/>
          <w:color w:val="000000"/>
          <w:sz w:val="28"/>
          <w:szCs w:val="28"/>
        </w:rPr>
      </w:pPr>
    </w:p>
    <w:p>
      <w:pPr>
        <w:pStyle w:val="53"/>
        <w:ind w:firstLine="0" w:firstLineChars="0"/>
        <w:rPr>
          <w:rFonts w:ascii="宋体" w:hAnsi="宋体"/>
          <w:b/>
          <w:bCs/>
          <w:color w:val="000000"/>
          <w:sz w:val="28"/>
          <w:szCs w:val="28"/>
        </w:rPr>
      </w:pPr>
    </w:p>
    <w:p>
      <w:pPr>
        <w:pStyle w:val="53"/>
        <w:ind w:firstLine="0" w:firstLineChars="0"/>
        <w:rPr>
          <w:rFonts w:ascii="宋体" w:hAnsi="宋体"/>
          <w:b/>
          <w:bCs/>
          <w:color w:val="000000"/>
          <w:sz w:val="28"/>
          <w:szCs w:val="28"/>
        </w:rPr>
      </w:pPr>
    </w:p>
    <w:p>
      <w:pPr>
        <w:pStyle w:val="53"/>
        <w:ind w:firstLine="0" w:firstLineChars="0"/>
        <w:rPr>
          <w:rFonts w:ascii="宋体" w:hAnsi="宋体"/>
          <w:b/>
          <w:bCs/>
          <w:color w:val="000000"/>
          <w:sz w:val="28"/>
          <w:szCs w:val="28"/>
        </w:rPr>
      </w:pPr>
    </w:p>
    <w:p>
      <w:pPr>
        <w:pStyle w:val="53"/>
        <w:ind w:firstLine="0" w:firstLineChars="0"/>
        <w:rPr>
          <w:rFonts w:ascii="宋体" w:hAnsi="宋体"/>
          <w:b/>
          <w:bCs/>
          <w:color w:val="000000"/>
          <w:sz w:val="28"/>
          <w:szCs w:val="28"/>
        </w:rPr>
      </w:pPr>
    </w:p>
    <w:p>
      <w:pPr>
        <w:pStyle w:val="53"/>
        <w:ind w:firstLine="0" w:firstLineChars="0"/>
        <w:rPr>
          <w:rFonts w:ascii="宋体" w:hAnsi="宋体"/>
          <w:b/>
          <w:bCs/>
          <w:color w:val="000000"/>
          <w:sz w:val="28"/>
          <w:szCs w:val="28"/>
        </w:rPr>
      </w:pPr>
    </w:p>
    <w:p>
      <w:pPr>
        <w:pStyle w:val="53"/>
        <w:ind w:firstLine="0" w:firstLineChars="0"/>
        <w:rPr>
          <w:rFonts w:ascii="宋体" w:hAnsi="宋体"/>
          <w:b/>
          <w:bCs/>
          <w:color w:val="000000"/>
          <w:sz w:val="28"/>
          <w:szCs w:val="28"/>
        </w:rPr>
      </w:pPr>
    </w:p>
    <w:p>
      <w:pPr>
        <w:pStyle w:val="53"/>
        <w:ind w:firstLine="0" w:firstLineChars="0"/>
        <w:rPr>
          <w:rFonts w:ascii="宋体" w:hAnsi="宋体"/>
          <w:b/>
          <w:bCs/>
          <w:color w:val="000000"/>
          <w:sz w:val="28"/>
          <w:szCs w:val="28"/>
        </w:rPr>
      </w:pPr>
    </w:p>
    <w:p>
      <w:pPr>
        <w:pStyle w:val="53"/>
        <w:ind w:firstLine="0" w:firstLineChars="0"/>
        <w:rPr>
          <w:rFonts w:ascii="宋体" w:hAnsi="宋体"/>
          <w:b/>
          <w:bCs/>
          <w:color w:val="000000"/>
          <w:sz w:val="28"/>
          <w:szCs w:val="28"/>
        </w:rPr>
      </w:pPr>
    </w:p>
    <w:p>
      <w:pPr>
        <w:pStyle w:val="53"/>
        <w:ind w:firstLine="0" w:firstLineChars="0"/>
        <w:rPr>
          <w:rFonts w:ascii="宋体" w:hAnsi="宋体"/>
          <w:b/>
          <w:bCs/>
          <w:color w:val="000000"/>
          <w:sz w:val="28"/>
          <w:szCs w:val="28"/>
        </w:rPr>
      </w:pPr>
    </w:p>
    <w:p>
      <w:pPr>
        <w:pStyle w:val="53"/>
        <w:ind w:firstLine="0" w:firstLineChars="0"/>
        <w:rPr>
          <w:rFonts w:ascii="宋体" w:hAnsi="宋体"/>
          <w:b/>
          <w:bCs/>
          <w:color w:val="000000"/>
          <w:sz w:val="28"/>
          <w:szCs w:val="28"/>
        </w:rPr>
      </w:pPr>
    </w:p>
    <w:p>
      <w:pPr>
        <w:pStyle w:val="53"/>
        <w:ind w:firstLine="0" w:firstLineChars="0"/>
        <w:rPr>
          <w:rFonts w:ascii="宋体" w:hAnsi="宋体"/>
          <w:b/>
          <w:bCs/>
          <w:color w:val="000000"/>
          <w:sz w:val="28"/>
          <w:szCs w:val="28"/>
        </w:rPr>
      </w:pPr>
    </w:p>
    <w:p>
      <w:pPr>
        <w:pStyle w:val="53"/>
        <w:ind w:firstLine="0" w:firstLineChars="0"/>
        <w:rPr>
          <w:rFonts w:ascii="宋体" w:hAnsi="宋体"/>
          <w:b/>
          <w:bCs/>
          <w:color w:val="000000"/>
          <w:sz w:val="28"/>
          <w:szCs w:val="28"/>
        </w:rPr>
      </w:pPr>
    </w:p>
    <w:p>
      <w:pPr>
        <w:pStyle w:val="53"/>
        <w:ind w:firstLine="0" w:firstLineChars="0"/>
        <w:rPr>
          <w:rFonts w:ascii="宋体" w:hAnsi="宋体"/>
          <w:b/>
          <w:bCs/>
          <w:color w:val="000000"/>
          <w:sz w:val="24"/>
        </w:rPr>
      </w:pPr>
      <w:r>
        <w:rPr>
          <w:rFonts w:hint="eastAsia" w:ascii="宋体" w:hAnsi="宋体"/>
          <w:b/>
          <w:bCs/>
          <w:color w:val="000000"/>
          <w:sz w:val="24"/>
        </w:rPr>
        <w:t>6.6.2 资格文件</w:t>
      </w:r>
    </w:p>
    <w:p>
      <w:pPr>
        <w:widowControl/>
        <w:rPr>
          <w:rFonts w:ascii="宋体" w:hAnsi="宋体"/>
          <w:color w:val="000000"/>
          <w:sz w:val="23"/>
          <w:szCs w:val="23"/>
        </w:rPr>
      </w:pPr>
    </w:p>
    <w:p>
      <w:pPr>
        <w:spacing w:line="420" w:lineRule="exact"/>
        <w:ind w:firstLine="460" w:firstLineChars="200"/>
        <w:rPr>
          <w:rFonts w:ascii="宋体" w:hAnsi="宋体"/>
          <w:color w:val="000000"/>
          <w:sz w:val="23"/>
          <w:szCs w:val="23"/>
        </w:rPr>
      </w:pPr>
      <w:r>
        <w:rPr>
          <w:rFonts w:hint="eastAsia" w:ascii="宋体"/>
          <w:color w:val="000000"/>
          <w:sz w:val="23"/>
          <w:szCs w:val="23"/>
        </w:rPr>
        <w:t>投标人应对照招标文件要求，详细地提供资格响应文件，包括但不限于下列文件：</w:t>
      </w:r>
    </w:p>
    <w:p>
      <w:pPr>
        <w:widowControl/>
        <w:numPr>
          <w:ilvl w:val="0"/>
          <w:numId w:val="33"/>
        </w:numPr>
        <w:spacing w:line="360" w:lineRule="auto"/>
        <w:rPr>
          <w:rFonts w:ascii="宋体" w:hAnsi="宋体"/>
          <w:color w:val="000000"/>
          <w:sz w:val="23"/>
          <w:szCs w:val="23"/>
        </w:rPr>
      </w:pPr>
      <w:r>
        <w:rPr>
          <w:rFonts w:hint="eastAsia" w:ascii="宋体"/>
          <w:color w:val="000000"/>
          <w:sz w:val="23"/>
          <w:szCs w:val="23"/>
        </w:rPr>
        <w:t>合格投标人资格证明文件。</w:t>
      </w:r>
    </w:p>
    <w:p>
      <w:pPr>
        <w:widowControl/>
        <w:numPr>
          <w:ilvl w:val="0"/>
          <w:numId w:val="33"/>
        </w:numPr>
        <w:spacing w:line="360" w:lineRule="auto"/>
        <w:rPr>
          <w:rFonts w:ascii="宋体"/>
          <w:color w:val="000000"/>
          <w:sz w:val="23"/>
          <w:szCs w:val="23"/>
        </w:rPr>
      </w:pPr>
      <w:r>
        <w:rPr>
          <w:rFonts w:hint="eastAsia" w:ascii="宋体" w:hAnsi="宋体"/>
          <w:color w:val="000000"/>
          <w:sz w:val="23"/>
          <w:szCs w:val="23"/>
        </w:rPr>
        <w:t>法定代表人证明书、授权委托书。</w:t>
      </w:r>
    </w:p>
    <w:p>
      <w:pPr>
        <w:widowControl/>
        <w:numPr>
          <w:ilvl w:val="0"/>
          <w:numId w:val="33"/>
        </w:numPr>
        <w:spacing w:line="360" w:lineRule="auto"/>
        <w:rPr>
          <w:rFonts w:ascii="宋体" w:hAnsi="宋体"/>
          <w:color w:val="000000"/>
          <w:sz w:val="23"/>
          <w:szCs w:val="23"/>
        </w:rPr>
      </w:pPr>
      <w:r>
        <w:rPr>
          <w:rFonts w:hint="eastAsia" w:ascii="宋体" w:hAnsi="宋体"/>
          <w:color w:val="000000"/>
          <w:sz w:val="23"/>
          <w:szCs w:val="23"/>
        </w:rPr>
        <w:t>投标人认为有必要提供的其他</w:t>
      </w:r>
      <w:r>
        <w:rPr>
          <w:rFonts w:hint="eastAsia" w:ascii="宋体"/>
          <w:color w:val="000000"/>
          <w:sz w:val="23"/>
          <w:szCs w:val="23"/>
        </w:rPr>
        <w:t>资质证书、</w:t>
      </w:r>
      <w:r>
        <w:rPr>
          <w:rFonts w:hint="eastAsia" w:ascii="宋体" w:hAnsi="宋体"/>
          <w:color w:val="000000"/>
          <w:sz w:val="23"/>
          <w:szCs w:val="23"/>
        </w:rPr>
        <w:t>材料。</w:t>
      </w:r>
    </w:p>
    <w:p>
      <w:pPr>
        <w:topLinePunct/>
        <w:spacing w:line="360" w:lineRule="auto"/>
        <w:ind w:firstLine="240"/>
        <w:rPr>
          <w:rFonts w:ascii="宋体" w:hAnsi="宋体"/>
          <w:color w:val="000000"/>
          <w:sz w:val="23"/>
          <w:szCs w:val="23"/>
        </w:rPr>
      </w:pPr>
    </w:p>
    <w:p>
      <w:pPr>
        <w:topLinePunct/>
        <w:spacing w:line="420" w:lineRule="exact"/>
        <w:ind w:firstLine="240"/>
        <w:jc w:val="center"/>
        <w:rPr>
          <w:rFonts w:ascii="宋体" w:hAnsi="宋体"/>
          <w:color w:val="000000"/>
          <w:sz w:val="23"/>
          <w:szCs w:val="23"/>
        </w:rPr>
      </w:pPr>
      <w:r>
        <w:rPr>
          <w:rFonts w:hint="eastAsia" w:ascii="宋体" w:hAnsi="宋体"/>
          <w:color w:val="000000"/>
          <w:sz w:val="23"/>
          <w:szCs w:val="23"/>
          <w:u w:val="single"/>
        </w:rPr>
        <w:t>注：以上所有复印件均需加盖投标人的公章</w:t>
      </w:r>
      <w:r>
        <w:rPr>
          <w:rFonts w:hint="eastAsia" w:ascii="宋体" w:hAnsi="宋体"/>
          <w:color w:val="000000"/>
          <w:sz w:val="23"/>
          <w:szCs w:val="23"/>
        </w:rPr>
        <w:t>。</w:t>
      </w:r>
    </w:p>
    <w:p>
      <w:pPr>
        <w:topLinePunct/>
        <w:spacing w:after="180"/>
        <w:ind w:firstLine="240"/>
        <w:jc w:val="center"/>
        <w:rPr>
          <w:rFonts w:ascii="宋体" w:hAnsi="宋体"/>
          <w:color w:val="000000"/>
          <w:sz w:val="23"/>
          <w:szCs w:val="23"/>
          <w:u w:val="single"/>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spacing w:line="420" w:lineRule="exact"/>
        <w:rPr>
          <w:color w:val="000000"/>
          <w:sz w:val="23"/>
          <w:szCs w:val="23"/>
        </w:rPr>
      </w:pPr>
      <w:r>
        <w:rPr>
          <w:color w:val="000000"/>
          <w:sz w:val="23"/>
          <w:szCs w:val="23"/>
        </w:rPr>
        <w:br w:type="page"/>
      </w:r>
    </w:p>
    <w:p>
      <w:pPr>
        <w:pStyle w:val="5"/>
      </w:pPr>
      <w:bookmarkStart w:id="141" w:name="_Toc26504"/>
      <w:r>
        <w:rPr>
          <w:rFonts w:hint="eastAsia"/>
        </w:rPr>
        <w:t>6.6 声明</w:t>
      </w:r>
    </w:p>
    <w:p>
      <w:pPr>
        <w:jc w:val="center"/>
        <w:rPr>
          <w:rFonts w:ascii="宋体" w:hAnsi="宋体"/>
          <w:b/>
          <w:sz w:val="36"/>
          <w:szCs w:val="36"/>
        </w:rPr>
      </w:pPr>
    </w:p>
    <w:p>
      <w:pPr>
        <w:jc w:val="center"/>
        <w:rPr>
          <w:rFonts w:ascii="宋体" w:hAnsi="宋体"/>
          <w:b/>
          <w:sz w:val="36"/>
          <w:szCs w:val="36"/>
        </w:rPr>
      </w:pPr>
      <w:r>
        <w:rPr>
          <w:rFonts w:hint="eastAsia" w:ascii="宋体" w:hAnsi="宋体"/>
          <w:b/>
          <w:sz w:val="36"/>
          <w:szCs w:val="36"/>
        </w:rPr>
        <w:t>声   明</w:t>
      </w:r>
    </w:p>
    <w:p>
      <w:pPr>
        <w:pStyle w:val="53"/>
        <w:ind w:firstLine="0" w:firstLineChars="0"/>
        <w:jc w:val="left"/>
        <w:rPr>
          <w:sz w:val="28"/>
          <w:szCs w:val="28"/>
        </w:rPr>
      </w:pPr>
    </w:p>
    <w:p>
      <w:pPr>
        <w:pStyle w:val="53"/>
        <w:spacing w:line="480" w:lineRule="auto"/>
        <w:ind w:firstLine="480"/>
        <w:jc w:val="left"/>
        <w:rPr>
          <w:rFonts w:ascii="宋体" w:hAnsi="宋体"/>
          <w:sz w:val="24"/>
        </w:rPr>
      </w:pPr>
      <w:r>
        <w:rPr>
          <w:rFonts w:ascii="宋体" w:hAnsi="宋体"/>
          <w:sz w:val="24"/>
        </w:rPr>
        <w:t>我</w:t>
      </w:r>
      <w:r>
        <w:rPr>
          <w:rFonts w:hint="eastAsia" w:ascii="宋体" w:hAnsi="宋体"/>
          <w:sz w:val="24"/>
        </w:rPr>
        <w:t>司</w:t>
      </w:r>
      <w:r>
        <w:rPr>
          <w:rFonts w:ascii="宋体" w:hAnsi="宋体"/>
          <w:sz w:val="24"/>
        </w:rPr>
        <w:t>已知悉并清楚理解</w:t>
      </w:r>
      <w:r>
        <w:rPr>
          <w:rFonts w:hint="eastAsia" w:ascii="宋体" w:hAnsi="宋体"/>
          <w:sz w:val="24"/>
        </w:rPr>
        <w:t>本次</w:t>
      </w:r>
      <w:r>
        <w:rPr>
          <w:rFonts w:ascii="宋体" w:hAnsi="宋体"/>
          <w:sz w:val="24"/>
        </w:rPr>
        <w:t>采购的全部内容，对本次采购作出实质性响应。</w:t>
      </w:r>
      <w:r>
        <w:rPr>
          <w:rFonts w:hint="eastAsia" w:ascii="宋体" w:hAnsi="宋体"/>
          <w:sz w:val="24"/>
        </w:rPr>
        <w:t>同时我司声明：同时我司完全符合《政府采购法》第二十二条规定的条件，且非联合体投标。如若我司不符合上述声明，则贵校有权随时无条件解除双方之间合同，且一切责任均由我司全力承担。</w:t>
      </w:r>
    </w:p>
    <w:p>
      <w:pPr>
        <w:pStyle w:val="53"/>
        <w:ind w:firstLine="480"/>
        <w:jc w:val="left"/>
        <w:rPr>
          <w:rFonts w:ascii="宋体" w:hAnsi="宋体"/>
          <w:sz w:val="24"/>
        </w:rPr>
      </w:pPr>
    </w:p>
    <w:p>
      <w:pPr>
        <w:spacing w:line="500" w:lineRule="exact"/>
        <w:ind w:left="4599" w:leftChars="2190"/>
        <w:rPr>
          <w:rFonts w:ascii="宋体"/>
          <w:color w:val="000000"/>
          <w:sz w:val="23"/>
          <w:szCs w:val="23"/>
        </w:rPr>
      </w:pPr>
      <w:r>
        <w:rPr>
          <w:rFonts w:hint="eastAsia" w:ascii="宋体" w:hAnsi="宋体"/>
          <w:sz w:val="24"/>
        </w:rPr>
        <w:t xml:space="preserve">                                             </w:t>
      </w: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pStyle w:val="53"/>
        <w:spacing w:line="480" w:lineRule="auto"/>
        <w:ind w:firstLine="480"/>
        <w:jc w:val="left"/>
        <w:rPr>
          <w:rFonts w:ascii="宋体" w:hAnsi="宋体"/>
          <w:sz w:val="24"/>
        </w:rPr>
      </w:pPr>
    </w:p>
    <w:p/>
    <w:p>
      <w:pPr>
        <w:pStyle w:val="5"/>
      </w:pPr>
    </w:p>
    <w:p>
      <w:pPr>
        <w:pStyle w:val="5"/>
      </w:pPr>
    </w:p>
    <w:p>
      <w:pPr>
        <w:pStyle w:val="5"/>
      </w:pPr>
    </w:p>
    <w:p>
      <w:pPr>
        <w:pStyle w:val="5"/>
      </w:pPr>
    </w:p>
    <w:p>
      <w:pPr>
        <w:pStyle w:val="5"/>
      </w:pPr>
    </w:p>
    <w:p>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pStyle w:val="5"/>
      </w:pPr>
    </w:p>
    <w:p>
      <w:pPr>
        <w:pStyle w:val="5"/>
      </w:pPr>
      <w:r>
        <w:rPr>
          <w:rFonts w:hint="eastAsia"/>
        </w:rPr>
        <w:t>6.7法定代表人证明书</w:t>
      </w:r>
      <w:bookmarkEnd w:id="141"/>
    </w:p>
    <w:p>
      <w:pPr>
        <w:adjustRightInd w:val="0"/>
        <w:snapToGrid w:val="0"/>
        <w:rPr>
          <w:rFonts w:ascii="宋体" w:hAnsi="宋体"/>
          <w:color w:val="000000"/>
          <w:kern w:val="0"/>
          <w:sz w:val="23"/>
          <w:szCs w:val="23"/>
        </w:rPr>
      </w:pPr>
    </w:p>
    <w:p>
      <w:pPr>
        <w:spacing w:line="500" w:lineRule="exact"/>
        <w:ind w:firstLine="460" w:firstLineChars="200"/>
        <w:rPr>
          <w:rFonts w:ascii="宋体" w:hAnsi="宋体"/>
          <w:color w:val="000000"/>
          <w:sz w:val="23"/>
          <w:szCs w:val="23"/>
        </w:rPr>
      </w:pPr>
      <w:r>
        <w:rPr>
          <w:rFonts w:hint="eastAsia" w:ascii="宋体" w:hAnsi="宋体"/>
          <w:color w:val="000000"/>
          <w:sz w:val="23"/>
          <w:szCs w:val="23"/>
          <w:u w:val="single"/>
        </w:rPr>
        <w:t>（法定代表人姓名）</w:t>
      </w:r>
      <w:r>
        <w:rPr>
          <w:rFonts w:hint="eastAsia" w:ascii="宋体" w:hAnsi="宋体"/>
          <w:color w:val="000000"/>
          <w:sz w:val="23"/>
          <w:szCs w:val="23"/>
        </w:rPr>
        <w:t>同志，</w:t>
      </w:r>
      <w:r>
        <w:rPr>
          <w:rFonts w:hint="eastAsia" w:ascii="宋体" w:hAnsi="宋体"/>
          <w:color w:val="000000"/>
          <w:sz w:val="23"/>
          <w:szCs w:val="23"/>
          <w:u w:val="single"/>
        </w:rPr>
        <w:t>( 身份证号码： )</w:t>
      </w:r>
      <w:r>
        <w:rPr>
          <w:rFonts w:hint="eastAsia" w:ascii="宋体" w:hAnsi="宋体"/>
          <w:color w:val="000000"/>
          <w:sz w:val="23"/>
          <w:szCs w:val="23"/>
        </w:rPr>
        <w:t>现任我单位</w:t>
      </w:r>
      <w:r>
        <w:rPr>
          <w:rFonts w:hint="eastAsia" w:ascii="宋体" w:hAnsi="宋体"/>
          <w:color w:val="000000"/>
          <w:sz w:val="23"/>
          <w:szCs w:val="23"/>
          <w:u w:val="single"/>
        </w:rPr>
        <w:t xml:space="preserve"> （投标人名称、职务） </w:t>
      </w:r>
      <w:r>
        <w:rPr>
          <w:rFonts w:hint="eastAsia" w:ascii="宋体" w:hAnsi="宋体"/>
          <w:color w:val="000000"/>
          <w:sz w:val="23"/>
          <w:szCs w:val="23"/>
        </w:rPr>
        <w:t>，为法定代表人，特此证明。</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企业法人营业执照号码：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组织机构代码：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经 济 性  质：</w:t>
      </w:r>
    </w:p>
    <w:p>
      <w:pPr>
        <w:spacing w:line="500" w:lineRule="exact"/>
        <w:ind w:firstLine="460" w:firstLineChars="200"/>
        <w:rPr>
          <w:rFonts w:ascii="宋体" w:hAnsi="宋体"/>
          <w:color w:val="000000"/>
          <w:sz w:val="23"/>
          <w:szCs w:val="23"/>
        </w:rPr>
      </w:pPr>
      <w:r>
        <w:rPr>
          <w:rFonts w:hint="eastAsia" w:ascii="宋体" w:hAnsi="宋体"/>
          <w:color w:val="000000"/>
          <w:sz w:val="23"/>
          <w:szCs w:val="23"/>
        </w:rPr>
        <w:t>成立日期：</w:t>
      </w:r>
    </w:p>
    <w:p>
      <w:pPr>
        <w:spacing w:line="500" w:lineRule="exact"/>
        <w:ind w:firstLine="460" w:firstLineChars="200"/>
        <w:rPr>
          <w:rFonts w:ascii="宋体" w:hAnsi="宋体"/>
          <w:color w:val="000000"/>
          <w:sz w:val="23"/>
          <w:szCs w:val="23"/>
        </w:rPr>
      </w:pPr>
    </w:p>
    <w:tbl>
      <w:tblPr>
        <w:tblStyle w:val="43"/>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附法定代表人身份证复印件</w:t>
            </w:r>
          </w:p>
          <w:p>
            <w:pPr>
              <w:spacing w:line="500" w:lineRule="exact"/>
              <w:rPr>
                <w:rFonts w:ascii="宋体" w:hAnsi="宋体"/>
                <w:color w:val="000000"/>
                <w:sz w:val="23"/>
                <w:szCs w:val="23"/>
              </w:rPr>
            </w:pPr>
          </w:p>
        </w:tc>
      </w:tr>
    </w:tbl>
    <w:p>
      <w:pPr>
        <w:adjustRightInd w:val="0"/>
        <w:snapToGrid w:val="0"/>
        <w:spacing w:line="500" w:lineRule="exact"/>
        <w:rPr>
          <w:rFonts w:ascii="宋体" w:hAnsi="宋体"/>
          <w:color w:val="000000"/>
          <w:sz w:val="23"/>
          <w:szCs w:val="23"/>
        </w:rPr>
      </w:pPr>
    </w:p>
    <w:p>
      <w:pPr>
        <w:spacing w:line="500" w:lineRule="exact"/>
        <w:ind w:left="4599" w:leftChars="2190"/>
        <w:rPr>
          <w:rFonts w:ascii="宋体"/>
          <w:color w:val="000000"/>
          <w:sz w:val="23"/>
          <w:szCs w:val="23"/>
        </w:rPr>
      </w:pP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rPr>
          <w:color w:val="000000"/>
          <w:sz w:val="23"/>
          <w:szCs w:val="23"/>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spacing w:line="500" w:lineRule="exact"/>
        <w:ind w:left="4599" w:leftChars="2190"/>
        <w:rPr>
          <w:rFonts w:ascii="宋体"/>
          <w:color w:val="000000"/>
          <w:sz w:val="23"/>
          <w:szCs w:val="23"/>
        </w:rPr>
      </w:pPr>
    </w:p>
    <w:p>
      <w:pPr>
        <w:rPr>
          <w:color w:val="000000"/>
          <w:sz w:val="23"/>
          <w:szCs w:val="23"/>
        </w:rPr>
      </w:pPr>
      <w:r>
        <w:rPr>
          <w:color w:val="000000"/>
          <w:sz w:val="23"/>
          <w:szCs w:val="23"/>
        </w:rPr>
        <w:br w:type="page"/>
      </w:r>
    </w:p>
    <w:p>
      <w:pPr>
        <w:pStyle w:val="5"/>
      </w:pPr>
      <w:bookmarkStart w:id="142" w:name="_Toc20519"/>
      <w:r>
        <w:rPr>
          <w:rFonts w:hint="eastAsia"/>
        </w:rPr>
        <w:t>6.8 授权委托书</w:t>
      </w:r>
      <w:bookmarkEnd w:id="142"/>
    </w:p>
    <w:p>
      <w:pPr>
        <w:adjustRightInd w:val="0"/>
        <w:snapToGrid w:val="0"/>
        <w:rPr>
          <w:rFonts w:ascii="宋体" w:hAnsi="宋体"/>
          <w:color w:val="000000"/>
          <w:kern w:val="0"/>
          <w:sz w:val="23"/>
          <w:szCs w:val="23"/>
        </w:rPr>
      </w:pPr>
    </w:p>
    <w:p>
      <w:pPr>
        <w:pStyle w:val="23"/>
        <w:spacing w:line="500" w:lineRule="exact"/>
        <w:rPr>
          <w:rFonts w:hAnsi="宋体"/>
          <w:b/>
          <w:bCs/>
          <w:color w:val="000000"/>
          <w:sz w:val="23"/>
          <w:szCs w:val="23"/>
        </w:rPr>
      </w:pPr>
      <w:r>
        <w:rPr>
          <w:rFonts w:hint="eastAsia" w:hAnsi="宋体"/>
          <w:b/>
          <w:bCs/>
          <w:color w:val="000000"/>
          <w:sz w:val="23"/>
          <w:szCs w:val="23"/>
        </w:rPr>
        <w:t>致:广东财经大学</w:t>
      </w:r>
    </w:p>
    <w:p>
      <w:pPr>
        <w:spacing w:line="500" w:lineRule="exact"/>
        <w:ind w:firstLine="588" w:firstLineChars="256"/>
        <w:rPr>
          <w:rFonts w:ascii="宋体" w:hAnsi="宋体"/>
          <w:sz w:val="23"/>
          <w:szCs w:val="23"/>
        </w:rPr>
      </w:pPr>
      <w:r>
        <w:rPr>
          <w:rFonts w:hint="eastAsia" w:ascii="宋体" w:hAnsi="宋体"/>
          <w:sz w:val="23"/>
          <w:szCs w:val="23"/>
        </w:rPr>
        <w:t>本授权书声明：</w:t>
      </w:r>
      <w:r>
        <w:rPr>
          <w:rFonts w:hint="eastAsia" w:ascii="宋体" w:hAnsi="宋体"/>
          <w:sz w:val="23"/>
          <w:szCs w:val="23"/>
          <w:u w:val="single"/>
        </w:rPr>
        <w:t xml:space="preserve"> （法定代表人姓名） </w:t>
      </w:r>
      <w:r>
        <w:rPr>
          <w:rFonts w:hint="eastAsia" w:ascii="宋体" w:hAnsi="宋体"/>
          <w:sz w:val="23"/>
          <w:szCs w:val="23"/>
        </w:rPr>
        <w:t>是注册于（国家或地区）的 （投标人名称）的法定代表人，现任职务。在</w:t>
      </w:r>
      <w:r>
        <w:rPr>
          <w:rFonts w:hint="eastAsia" w:ascii="宋体" w:hAnsi="宋体"/>
          <w:sz w:val="23"/>
          <w:szCs w:val="23"/>
          <w:u w:val="single"/>
        </w:rPr>
        <w:t xml:space="preserve">               采购项目（</w:t>
      </w:r>
      <w:r>
        <w:rPr>
          <w:rFonts w:hint="eastAsia" w:ascii="宋体" w:hAnsi="宋体"/>
          <w:sz w:val="23"/>
          <w:szCs w:val="23"/>
        </w:rPr>
        <w:t>项目编号为：</w:t>
      </w:r>
      <w:r>
        <w:rPr>
          <w:rFonts w:hint="eastAsia" w:ascii="宋体" w:hAnsi="宋体"/>
          <w:sz w:val="23"/>
          <w:szCs w:val="23"/>
          <w:u w:val="single"/>
        </w:rPr>
        <w:t xml:space="preserve">      ）</w:t>
      </w:r>
      <w:r>
        <w:rPr>
          <w:rFonts w:hint="eastAsia" w:ascii="宋体" w:hAnsi="宋体"/>
          <w:sz w:val="23"/>
          <w:szCs w:val="23"/>
        </w:rPr>
        <w:t>的投标，现授权（姓名、职务）作为我公司的全权代理人，以我方的名义处理一切与之有关的事宜。</w:t>
      </w:r>
    </w:p>
    <w:p>
      <w:pPr>
        <w:spacing w:line="500" w:lineRule="exact"/>
        <w:rPr>
          <w:rFonts w:ascii="宋体" w:hAnsi="宋体"/>
          <w:sz w:val="23"/>
          <w:szCs w:val="23"/>
        </w:rPr>
      </w:pPr>
    </w:p>
    <w:p>
      <w:pPr>
        <w:spacing w:line="500" w:lineRule="exact"/>
        <w:ind w:firstLine="441" w:firstLineChars="192"/>
        <w:rPr>
          <w:rFonts w:ascii="宋体" w:hAnsi="宋体"/>
          <w:color w:val="000000"/>
          <w:sz w:val="23"/>
          <w:szCs w:val="23"/>
        </w:rPr>
      </w:pPr>
      <w:r>
        <w:rPr>
          <w:rFonts w:hint="eastAsia" w:ascii="宋体" w:hAnsi="宋体"/>
          <w:sz w:val="23"/>
          <w:szCs w:val="23"/>
        </w:rPr>
        <w:t>本授权书于年月日签字生效，</w:t>
      </w:r>
      <w:r>
        <w:rPr>
          <w:rFonts w:hint="eastAsia" w:ascii="宋体" w:hAnsi="宋体"/>
          <w:color w:val="000000"/>
          <w:sz w:val="23"/>
          <w:szCs w:val="23"/>
        </w:rPr>
        <w:t>有效期至年月日。</w:t>
      </w:r>
    </w:p>
    <w:tbl>
      <w:tblPr>
        <w:tblStyle w:val="43"/>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附被授权人身份证复印件</w:t>
            </w:r>
          </w:p>
          <w:p>
            <w:pPr>
              <w:spacing w:line="500" w:lineRule="exact"/>
              <w:rPr>
                <w:rFonts w:ascii="宋体" w:hAnsi="宋体"/>
                <w:color w:val="000000"/>
                <w:sz w:val="23"/>
                <w:szCs w:val="23"/>
              </w:rPr>
            </w:pPr>
          </w:p>
        </w:tc>
      </w:tr>
    </w:tbl>
    <w:p>
      <w:pPr>
        <w:spacing w:line="500" w:lineRule="exact"/>
        <w:ind w:firstLine="460" w:firstLineChars="200"/>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投标人（公章）：</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地        址：</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法定代表人（签名）：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bookmarkStart w:id="143" w:name="OLE_LINK1"/>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代理人</w:t>
      </w:r>
      <w:bookmarkEnd w:id="143"/>
      <w:r>
        <w:rPr>
          <w:rFonts w:hint="eastAsia" w:ascii="宋体" w:hAnsi="宋体"/>
          <w:color w:val="000000"/>
          <w:sz w:val="23"/>
          <w:szCs w:val="23"/>
        </w:rPr>
        <w:t>（签名）：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p>
    <w:p>
      <w:pPr>
        <w:spacing w:line="500" w:lineRule="exact"/>
        <w:ind w:firstLine="4025" w:firstLineChars="1750"/>
        <w:rPr>
          <w:rFonts w:ascii="宋体" w:hAnsi="宋体"/>
          <w:color w:val="000000"/>
          <w:sz w:val="23"/>
          <w:szCs w:val="23"/>
        </w:rPr>
      </w:pPr>
    </w:p>
    <w:p>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b/>
          <w:bCs/>
          <w:color w:val="000000"/>
          <w:sz w:val="23"/>
          <w:szCs w:val="23"/>
        </w:rPr>
        <w:t>，</w:t>
      </w:r>
      <w:r>
        <w:rPr>
          <w:rFonts w:hint="eastAsia"/>
          <w:color w:val="000000"/>
          <w:sz w:val="23"/>
          <w:szCs w:val="23"/>
        </w:rPr>
        <w:t>必须有法定代表人和代理人的</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且有效期不得短于投标截止日或开标日，否则，作无效投标处理）</w:t>
      </w:r>
    </w:p>
    <w:p>
      <w:pPr>
        <w:rPr>
          <w:rFonts w:ascii="宋体" w:hAnsi="宋体"/>
          <w:color w:val="000000"/>
          <w:sz w:val="23"/>
          <w:szCs w:val="23"/>
        </w:rPr>
      </w:pPr>
    </w:p>
    <w:p>
      <w:pPr>
        <w:outlineLvl w:val="0"/>
        <w:rPr>
          <w:rFonts w:ascii="宋体" w:hAnsi="宋体"/>
          <w:bCs/>
          <w:color w:val="000000"/>
          <w:sz w:val="23"/>
          <w:szCs w:val="23"/>
        </w:rPr>
      </w:pPr>
      <w:r>
        <w:rPr>
          <w:rFonts w:ascii="宋体" w:hAnsi="宋体"/>
          <w:color w:val="000000"/>
          <w:sz w:val="23"/>
          <w:szCs w:val="23"/>
        </w:rPr>
        <w:br w:type="page"/>
      </w:r>
    </w:p>
    <w:p>
      <w:pPr>
        <w:pStyle w:val="5"/>
      </w:pPr>
      <w:bookmarkStart w:id="144" w:name="_Toc295727245"/>
      <w:bookmarkStart w:id="145" w:name="_Toc7944"/>
      <w:bookmarkStart w:id="146" w:name="_Toc59630618"/>
      <w:r>
        <w:rPr>
          <w:rFonts w:hint="eastAsia"/>
        </w:rPr>
        <w:t>6.9 投标文件自查清单（仅供提示）</w:t>
      </w:r>
      <w:bookmarkEnd w:id="144"/>
      <w:bookmarkEnd w:id="145"/>
      <w:bookmarkEnd w:id="146"/>
    </w:p>
    <w:p>
      <w:pPr>
        <w:rPr>
          <w:color w:val="000000"/>
        </w:rPr>
      </w:pPr>
    </w:p>
    <w:p>
      <w:pPr>
        <w:rPr>
          <w:rFonts w:ascii="宋体" w:hAnsi="宋体"/>
          <w:color w:val="000000"/>
          <w:sz w:val="24"/>
        </w:rPr>
      </w:pPr>
      <w:r>
        <w:rPr>
          <w:rFonts w:hint="eastAsia" w:ascii="宋体" w:hAnsi="宋体"/>
          <w:color w:val="000000"/>
          <w:sz w:val="28"/>
          <w:szCs w:val="28"/>
        </w:rPr>
        <w:t xml:space="preserve">  </w:t>
      </w:r>
      <w:r>
        <w:rPr>
          <w:rFonts w:hint="eastAsia" w:ascii="宋体" w:hAnsi="宋体"/>
          <w:color w:val="000000"/>
          <w:sz w:val="24"/>
        </w:rPr>
        <w:t xml:space="preserve">  投标人应自行检查投标文件的编制、装订、签署等情况，确保所递交的投标文件资料满足招标文件要求，避免投标文件无效。</w:t>
      </w:r>
    </w:p>
    <w:p>
      <w:pPr>
        <w:rPr>
          <w:color w:val="000000"/>
          <w:sz w:val="24"/>
        </w:rPr>
      </w:pPr>
    </w:p>
    <w:p>
      <w:pPr>
        <w:numPr>
          <w:ilvl w:val="0"/>
          <w:numId w:val="34"/>
        </w:numPr>
        <w:rPr>
          <w:rFonts w:ascii="宋体" w:hAnsi="宋体"/>
          <w:b/>
          <w:color w:val="000000"/>
          <w:sz w:val="24"/>
        </w:rPr>
      </w:pPr>
      <w:r>
        <w:rPr>
          <w:rFonts w:hint="eastAsia" w:ascii="宋体" w:hAnsi="宋体"/>
          <w:b/>
          <w:color w:val="000000"/>
          <w:sz w:val="24"/>
        </w:rPr>
        <w:t>资格性资料</w:t>
      </w:r>
    </w:p>
    <w:p>
      <w:pPr>
        <w:rPr>
          <w:rFonts w:ascii="宋体" w:hAnsi="宋体"/>
          <w:color w:val="000000"/>
          <w:sz w:val="24"/>
        </w:rPr>
      </w:pPr>
      <w:r>
        <w:rPr>
          <w:rFonts w:hint="eastAsia" w:ascii="宋体" w:hAnsi="宋体"/>
          <w:color w:val="000000"/>
          <w:sz w:val="24"/>
        </w:rPr>
        <w:t>对照《资格性审查表》逐项核对应提交资格证明文件</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shd w:val="clear" w:color="auto" w:fill="C0C0C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vAlign w:val="center"/>
          </w:tcPr>
          <w:p>
            <w:pPr>
              <w:jc w:val="center"/>
              <w:rPr>
                <w:rFonts w:ascii="宋体" w:hAnsi="宋体"/>
                <w:color w:val="000000"/>
                <w:sz w:val="24"/>
              </w:rPr>
            </w:pPr>
            <w:r>
              <w:rPr>
                <w:rFonts w:hint="eastAsia" w:ascii="宋体" w:hAnsi="宋体"/>
                <w:color w:val="000000"/>
                <w:sz w:val="24"/>
              </w:rPr>
              <w:t>供应商资格要求</w:t>
            </w:r>
          </w:p>
        </w:tc>
        <w:tc>
          <w:tcPr>
            <w:tcW w:w="2683" w:type="dxa"/>
            <w:shd w:val="clear" w:color="auto" w:fill="C0C0C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bl>
    <w:p>
      <w:pPr>
        <w:rPr>
          <w:rFonts w:ascii="宋体" w:hAnsi="宋体"/>
          <w:color w:val="000000"/>
          <w:sz w:val="24"/>
        </w:rPr>
      </w:pPr>
    </w:p>
    <w:p>
      <w:pPr>
        <w:numPr>
          <w:ilvl w:val="0"/>
          <w:numId w:val="34"/>
        </w:numPr>
        <w:rPr>
          <w:rFonts w:ascii="宋体" w:hAnsi="宋体"/>
          <w:b/>
          <w:color w:val="000000"/>
          <w:sz w:val="24"/>
        </w:rPr>
      </w:pPr>
      <w:r>
        <w:rPr>
          <w:rFonts w:hint="eastAsia" w:ascii="宋体" w:hAnsi="宋体"/>
          <w:b/>
          <w:color w:val="000000"/>
          <w:sz w:val="24"/>
        </w:rPr>
        <w:t>符合性审资料</w:t>
      </w:r>
    </w:p>
    <w:p>
      <w:pPr>
        <w:rPr>
          <w:rFonts w:ascii="宋体" w:hAnsi="宋体"/>
          <w:color w:val="000000"/>
          <w:sz w:val="24"/>
        </w:rPr>
      </w:pPr>
      <w:r>
        <w:rPr>
          <w:rFonts w:hint="eastAsia" w:ascii="宋体" w:hAnsi="宋体"/>
          <w:color w:val="000000"/>
          <w:sz w:val="24"/>
        </w:rPr>
        <w:t>对照《符合性审查表》逐项核对投标文件的符合性（含招标文件的★号条款）</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vAlign w:val="center"/>
          </w:tcPr>
          <w:p>
            <w:pPr>
              <w:jc w:val="center"/>
              <w:rPr>
                <w:rFonts w:ascii="宋体" w:hAnsi="宋体"/>
                <w:color w:val="000000"/>
                <w:sz w:val="24"/>
              </w:rPr>
            </w:pPr>
            <w:r>
              <w:rPr>
                <w:rFonts w:hint="eastAsia" w:ascii="宋体" w:hAnsi="宋体"/>
                <w:color w:val="000000"/>
                <w:sz w:val="24"/>
              </w:rPr>
              <w:t>符合性审查条款</w:t>
            </w:r>
          </w:p>
        </w:tc>
        <w:tc>
          <w:tcPr>
            <w:tcW w:w="2683" w:type="dxa"/>
            <w:shd w:val="clear" w:color="auto" w:fill="C0C0C0"/>
            <w:vAlign w:val="center"/>
          </w:tcPr>
          <w:p>
            <w:pPr>
              <w:jc w:val="center"/>
              <w:rPr>
                <w:rFonts w:ascii="宋体" w:hAnsi="宋体"/>
                <w:color w:val="000000"/>
                <w:sz w:val="24"/>
              </w:rPr>
            </w:pPr>
            <w:r>
              <w:rPr>
                <w:rFonts w:hint="eastAsia" w:ascii="宋体" w:hAnsi="宋体"/>
                <w:color w:val="000000"/>
                <w:sz w:val="24"/>
              </w:rPr>
              <w:t>是否符合</w:t>
            </w:r>
          </w:p>
        </w:tc>
        <w:tc>
          <w:tcPr>
            <w:tcW w:w="2537" w:type="dxa"/>
            <w:shd w:val="clear" w:color="auto" w:fill="C0C0C0"/>
            <w:vAlign w:val="center"/>
          </w:tcPr>
          <w:p>
            <w:pPr>
              <w:jc w:val="center"/>
              <w:rPr>
                <w:rFonts w:ascii="宋体" w:hAnsi="宋体"/>
                <w:color w:val="000000"/>
                <w:sz w:val="24"/>
              </w:rPr>
            </w:pPr>
            <w:r>
              <w:rPr>
                <w:rFonts w:hint="eastAsia" w:ascii="宋体" w:hAnsi="宋体"/>
                <w:color w:val="000000"/>
                <w:sz w:val="24"/>
              </w:rPr>
              <w:t>见投标文件第（ ）页</w:t>
            </w:r>
          </w:p>
          <w:p>
            <w:pPr>
              <w:jc w:val="center"/>
              <w:rPr>
                <w:rFonts w:ascii="宋体" w:hAnsi="宋体"/>
                <w:color w:val="000000"/>
                <w:sz w:val="24"/>
              </w:rPr>
            </w:pPr>
            <w:r>
              <w:rPr>
                <w:rFonts w:hint="eastAsia" w:ascii="宋体" w:hAnsi="宋体"/>
                <w:color w:val="000000"/>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bl>
    <w:p>
      <w:pPr>
        <w:rPr>
          <w:rFonts w:ascii="宋体" w:hAnsi="宋体"/>
          <w:color w:val="000000"/>
          <w:sz w:val="24"/>
        </w:rPr>
      </w:pPr>
    </w:p>
    <w:p>
      <w:pPr>
        <w:numPr>
          <w:ilvl w:val="0"/>
          <w:numId w:val="34"/>
        </w:numPr>
        <w:rPr>
          <w:rFonts w:ascii="宋体" w:hAnsi="宋体"/>
          <w:color w:val="000000"/>
          <w:sz w:val="24"/>
        </w:rPr>
      </w:pPr>
      <w:r>
        <w:rPr>
          <w:rFonts w:hint="eastAsia" w:ascii="宋体" w:hAnsi="宋体"/>
          <w:color w:val="000000"/>
          <w:sz w:val="24"/>
        </w:rPr>
        <w:t>《项目内容及需求》响应资料</w:t>
      </w:r>
    </w:p>
    <w:p>
      <w:pPr>
        <w:rPr>
          <w:rFonts w:ascii="宋体" w:hAnsi="宋体"/>
          <w:color w:val="000000"/>
          <w:sz w:val="24"/>
        </w:rPr>
      </w:pPr>
      <w:r>
        <w:rPr>
          <w:rFonts w:hint="eastAsia" w:ascii="宋体" w:hAnsi="宋体"/>
          <w:color w:val="000000"/>
          <w:sz w:val="24"/>
        </w:rPr>
        <w:t>对照项目需求书要求逐项核对应提交的资料</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shd w:val="clear" w:color="auto" w:fill="C0C0C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vAlign w:val="center"/>
          </w:tcPr>
          <w:p>
            <w:pPr>
              <w:jc w:val="center"/>
              <w:rPr>
                <w:rFonts w:ascii="宋体" w:hAnsi="宋体"/>
                <w:color w:val="000000"/>
                <w:sz w:val="24"/>
              </w:rPr>
            </w:pPr>
            <w:r>
              <w:rPr>
                <w:rFonts w:hint="eastAsia" w:ascii="宋体" w:hAnsi="宋体"/>
                <w:color w:val="000000"/>
                <w:sz w:val="24"/>
              </w:rPr>
              <w:t>用户需求书要求</w:t>
            </w:r>
          </w:p>
        </w:tc>
        <w:tc>
          <w:tcPr>
            <w:tcW w:w="2683" w:type="dxa"/>
            <w:shd w:val="clear" w:color="auto" w:fill="C0C0C0"/>
            <w:vAlign w:val="center"/>
          </w:tcPr>
          <w:p>
            <w:pPr>
              <w:jc w:val="center"/>
              <w:rPr>
                <w:rFonts w:ascii="宋体" w:hAnsi="宋体"/>
                <w:color w:val="000000"/>
                <w:sz w:val="24"/>
              </w:rPr>
            </w:pPr>
            <w:r>
              <w:rPr>
                <w:rFonts w:hint="eastAsia" w:ascii="宋体" w:hAnsi="宋体"/>
                <w:color w:val="000000"/>
                <w:sz w:val="24"/>
              </w:rPr>
              <w:t>提交的资料</w:t>
            </w:r>
          </w:p>
        </w:tc>
        <w:tc>
          <w:tcPr>
            <w:tcW w:w="2537" w:type="dxa"/>
            <w:shd w:val="clear" w:color="auto" w:fill="C0C0C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bl>
    <w:p>
      <w:pPr>
        <w:rPr>
          <w:rFonts w:ascii="宋体" w:hAnsi="宋体"/>
          <w:color w:val="000000"/>
          <w:sz w:val="24"/>
        </w:rPr>
      </w:pPr>
    </w:p>
    <w:p>
      <w:pPr>
        <w:numPr>
          <w:ilvl w:val="0"/>
          <w:numId w:val="34"/>
        </w:numPr>
        <w:rPr>
          <w:rFonts w:ascii="宋体" w:hAnsi="宋体"/>
          <w:color w:val="000000"/>
          <w:sz w:val="24"/>
        </w:rPr>
      </w:pPr>
      <w:r>
        <w:rPr>
          <w:rFonts w:hint="eastAsia" w:ascii="宋体" w:hAnsi="宋体"/>
          <w:color w:val="000000"/>
          <w:sz w:val="24"/>
        </w:rPr>
        <w:t>《技术评分表》和《商务评分表》中供评审的证明文件</w:t>
      </w:r>
    </w:p>
    <w:p>
      <w:pPr>
        <w:rPr>
          <w:rFonts w:ascii="宋体" w:hAnsi="宋体"/>
          <w:color w:val="000000"/>
          <w:sz w:val="24"/>
        </w:rPr>
      </w:pPr>
      <w:r>
        <w:rPr>
          <w:rFonts w:hint="eastAsia" w:ascii="宋体" w:hAnsi="宋体"/>
          <w:color w:val="000000"/>
          <w:sz w:val="24"/>
        </w:rPr>
        <w:t>对照技术和商务评分表中的评审要求逐项核对应提交的证明文件</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vAlign w:val="center"/>
          </w:tcPr>
          <w:p>
            <w:pPr>
              <w:jc w:val="center"/>
              <w:rPr>
                <w:rFonts w:ascii="宋体" w:hAnsi="宋体"/>
                <w:color w:val="000000"/>
                <w:sz w:val="24"/>
              </w:rPr>
            </w:pPr>
            <w:r>
              <w:rPr>
                <w:rFonts w:hint="eastAsia" w:ascii="宋体" w:hAnsi="宋体"/>
                <w:color w:val="000000"/>
                <w:sz w:val="24"/>
              </w:rPr>
              <w:t>技术和商务评审要求</w:t>
            </w:r>
          </w:p>
        </w:tc>
        <w:tc>
          <w:tcPr>
            <w:tcW w:w="2683" w:type="dxa"/>
            <w:shd w:val="clear" w:color="auto" w:fill="C0C0C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4"/>
              </w:rPr>
            </w:pPr>
          </w:p>
        </w:tc>
        <w:tc>
          <w:tcPr>
            <w:tcW w:w="3060" w:type="dxa"/>
          </w:tcPr>
          <w:p>
            <w:pPr>
              <w:rPr>
                <w:rFonts w:ascii="宋体" w:hAnsi="宋体"/>
                <w:color w:val="000000"/>
                <w:sz w:val="24"/>
              </w:rPr>
            </w:pPr>
          </w:p>
        </w:tc>
        <w:tc>
          <w:tcPr>
            <w:tcW w:w="2683" w:type="dxa"/>
          </w:tcPr>
          <w:p>
            <w:pPr>
              <w:rPr>
                <w:rFonts w:ascii="宋体" w:hAnsi="宋体"/>
                <w:color w:val="000000"/>
                <w:sz w:val="24"/>
              </w:rPr>
            </w:pPr>
          </w:p>
        </w:tc>
        <w:tc>
          <w:tcPr>
            <w:tcW w:w="2537" w:type="dxa"/>
          </w:tcPr>
          <w:p>
            <w:pPr>
              <w:rPr>
                <w:rFonts w:ascii="宋体" w:hAnsi="宋体"/>
                <w:color w:val="000000"/>
                <w:sz w:val="24"/>
              </w:rPr>
            </w:pPr>
          </w:p>
        </w:tc>
      </w:tr>
    </w:tbl>
    <w:p>
      <w:pPr>
        <w:rPr>
          <w:rFonts w:ascii="宋体" w:hAnsi="宋体"/>
          <w:color w:val="000000"/>
          <w:sz w:val="24"/>
        </w:rPr>
      </w:pPr>
      <w:r>
        <w:rPr>
          <w:rFonts w:hint="eastAsia" w:ascii="宋体" w:hAnsi="宋体"/>
          <w:color w:val="000000"/>
          <w:sz w:val="24"/>
        </w:rPr>
        <w:t>注：投标人应根据投标文件中的资料提交情况如实制作本清单，并对本清单的准确性负责。</w:t>
      </w:r>
    </w:p>
    <w:p>
      <w:pPr>
        <w:rPr>
          <w:sz w:val="23"/>
          <w:szCs w:val="23"/>
        </w:rPr>
      </w:pPr>
    </w:p>
    <w:sectPr>
      <w:footerReference r:id="rId12" w:type="first"/>
      <w:footerReference r:id="rId11" w:type="default"/>
      <w:pgSz w:w="11907" w:h="16840"/>
      <w:pgMar w:top="1440" w:right="1467" w:bottom="1440" w:left="1758" w:header="851" w:footer="992" w:gutter="0"/>
      <w:pgNumType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MS Shell Dlg">
    <w:altName w:val="Microsoft Sans Serif"/>
    <w:panose1 w:val="020B0604020202020204"/>
    <w:charset w:val="00"/>
    <w:family w:val="swiss"/>
    <w:pitch w:val="default"/>
    <w:sig w:usb0="00000000" w:usb1="00000000" w:usb2="00000008" w:usb3="00000000" w:csb0="000101FF"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u w:val="single"/>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OAb5cQBAACQ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UmJ4xYHfvn+7fLj1+XnV7Ks&#10;bm6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tOAb5cQBAACQAwAADgAAAAAAAAABACAAAAAeAQAAZHJzL2Uyb0RvYy54bWxQ&#10;SwUGAAAAAAYABgBZAQAAVA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10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RL6cQBAACQAwAADgAAAGRycy9lMm9Eb2MueG1srVPNjtMwEL4j8Q6W&#10;79Rpta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zRL6cQBAACQAwAADgAAAAAAAAABACAAAAAeAQAAZHJzL2Uyb0RvYy54bWxQ&#10;SwUGAAAAAAYABgBZAQAAVA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文本框 104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923ZsQBAACQAwAADgAAAGRycy9lMm9Eb2MueG1srVPNjtMwEL4j8Q6W&#10;79RpB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LEcYsDv3z/dvnx6/LzK1lW&#10;L2+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h923ZsQBAACQAwAADgAAAAAAAAABACAAAAAeAQAAZHJzL2Uyb0RvYy54bWxQ&#10;SwUGAAAAAAYABgBZAQAAVA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5</w:t>
                    </w:r>
                    <w:r>
                      <w:fldChar w:fldCharType="end"/>
                    </w:r>
                  </w:p>
                </w:txbxContent>
              </v:textbox>
            </v:shape>
          </w:pict>
        </mc:Fallback>
      </mc:AlternateContent>
    </w:r>
  </w:p>
  <w:p>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u w:val="single"/>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04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kDZysQBAACQAwAADgAAAGRycy9lMm9Eb2MueG1srVPNjtMwEL4j8Q6W&#10;79Rph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Syr&#10;l6+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kDZysQBAACQAwAADgAAAAAAAAABACAAAAAeAQAAZHJzL2Uyb0RvYy54bWxQ&#10;SwUGAAAAAAYABgBZAQAAVA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4</w:t>
                    </w:r>
                    <w:r>
                      <w:fldChar w:fldCharType="end"/>
                    </w:r>
                  </w:p>
                </w:txbxContent>
              </v:textbox>
            </v:shape>
          </w:pict>
        </mc:Fallback>
      </mc:AlternateContent>
    </w:r>
  </w:p>
  <w:p>
    <w:pPr>
      <w:pStyle w:val="2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u w:val="single"/>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文本框 104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dMe7fFAQAAkAMAAA4AAAAAAAAAAQAgAAAAHgEAAGRycy9lMm9Eb2MueG1s&#10;UEsFBgAAAAAGAAYAWQEAAFU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14</w:t>
                    </w:r>
                    <w:r>
                      <w:fldChar w:fldCharType="end"/>
                    </w:r>
                  </w:p>
                </w:txbxContent>
              </v:textbox>
            </v:shape>
          </w:pict>
        </mc:Fallback>
      </mc:AlternateContent>
    </w:r>
  </w:p>
  <w:p>
    <w:pPr>
      <w:pStyle w:val="2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u w:val="single"/>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文本框 104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mIMMBAACQ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4tgdtzjwy/dvlx+/Lj+/kmX1&#10;8nVWqA9QY+JdwNQ0vPUD7s3sB3Rm4oOKNn+REsE46nu+6iuHRER+tF6t1xWGBMbmC+Kzh+chQnon&#10;vSXZaGjEARZd+ekDpDF1TsnVnL/VxpQhGveXAzGzh+Xexx6zlYb9MBHa+/aMfHqcfUMdrjol5r1D&#10;afOazEacjf1k5BoQ3hwTFi79ZNQRaiqGgyqMpqXKm/DnvWQ9/Ej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9DCYgwwEAAJADAAAOAAAAAAAAAAEAIAAAAB4BAABkcnMvZTJvRG9jLnhtbFBL&#10;BQYAAAAABgAGAFkBAABT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6</w:t>
                    </w:r>
                    <w:r>
                      <w:fldChar w:fldCharType="end"/>
                    </w:r>
                  </w:p>
                </w:txbxContent>
              </v:textbox>
            </v:shape>
          </w:pict>
        </mc:Fallback>
      </mc:AlternateContent>
    </w:r>
  </w:p>
  <w:p>
    <w:pPr>
      <w:pStyle w:val="2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u w:val="single"/>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文本框 105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IVkbVwwEAAJADAAAOAAAAAAAAAAEAIAAAAB4BAABkcnMvZTJvRG9jLnhtbFBL&#10;BQYAAAAABgAGAFkBAABT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26</w:t>
                    </w:r>
                    <w:r>
                      <w:fldChar w:fldCharType="end"/>
                    </w:r>
                  </w:p>
                </w:txbxContent>
              </v:textbox>
            </v:shape>
          </w:pict>
        </mc:Fallback>
      </mc:AlternateContent>
    </w:r>
  </w:p>
  <w:p>
    <w:pPr>
      <w:pStyle w:val="2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u w:val="single"/>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 id="文本框 105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Ut+T8MBAACR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UBJHLc48cv3b5cfvy4/v5Jl&#10;9XqZJeoD1Jj5EDA3DXd+wPTZD+jMzAcVbf4iJ4JxRDtfBZZDIiI/Wq/W6wpDAmPzBfHZ4/MQIb2V&#10;3pJsNDTiBIuw/PQe0pg6p+Rqzt9rY8oUjfvLgZjZw3LvY4/ZSsN+mAjtfXtGPj0Ov6EOd50S886h&#10;tthfmo04G/vJyDUg3B4TFi79ZNQRaiqGkyqMpq3Kq/DnvWQ9/kn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ZS35PwwEAAJEDAAAOAAAAAAAAAAEAIAAAAB4BAABkcnMvZTJvRG9jLnhtbFBL&#10;BQYAAAAABgAGAFkBAABT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15</w:t>
                    </w:r>
                    <w:r>
                      <w:fldChar w:fldCharType="end"/>
                    </w:r>
                  </w:p>
                </w:txbxContent>
              </v:textbox>
            </v:shape>
          </w:pict>
        </mc:Fallback>
      </mc:AlternateContent>
    </w:r>
  </w:p>
  <w:p>
    <w:pPr>
      <w:pStyle w:val="2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bookmarkStart w:id="147" w:name="OLE_LINK14"/>
    <w:bookmarkEnd w:id="147"/>
    <w:bookmarkStart w:id="148" w:name="OLE_LINK15"/>
    <w:bookmarkEnd w:id="148"/>
    <w:bookmarkStart w:id="149" w:name="_Hlk303930787"/>
    <w:bookmarkEnd w:id="14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C0238"/>
    <w:multiLevelType w:val="singleLevel"/>
    <w:tmpl w:val="FFAC0238"/>
    <w:lvl w:ilvl="0" w:tentative="0">
      <w:start w:val="1"/>
      <w:numFmt w:val="decimal"/>
      <w:suff w:val="space"/>
      <w:lvlText w:val="（%1）"/>
      <w:lvlJc w:val="left"/>
    </w:lvl>
  </w:abstractNum>
  <w:abstractNum w:abstractNumId="1">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22E5BD3"/>
    <w:multiLevelType w:val="multilevel"/>
    <w:tmpl w:val="322E5BD3"/>
    <w:lvl w:ilvl="0" w:tentative="0">
      <w:start w:val="1"/>
      <w:numFmt w:val="decimal"/>
      <w:lvlText w:val="1.%1"/>
      <w:lvlJc w:val="left"/>
      <w:pPr>
        <w:tabs>
          <w:tab w:val="left" w:pos="796"/>
        </w:tabs>
        <w:ind w:left="1107" w:hanging="567"/>
      </w:pPr>
      <w:rPr>
        <w:rFonts w:hint="eastAsia" w:ascii="宋体" w:hAnsi="宋体" w:eastAsia="宋体"/>
        <w:b/>
      </w:rPr>
    </w:lvl>
    <w:lvl w:ilvl="1" w:tentative="0">
      <w:start w:val="1"/>
      <w:numFmt w:val="decimal"/>
      <w:lvlText w:val="%2、"/>
      <w:lvlJc w:val="left"/>
      <w:pPr>
        <w:tabs>
          <w:tab w:val="left" w:pos="1936"/>
        </w:tabs>
        <w:ind w:left="1936" w:hanging="720"/>
      </w:pPr>
      <w:rPr>
        <w:rFonts w:ascii="宋体" w:hAnsi="宋体" w:eastAsia="宋体" w:cs="Times New Roman"/>
      </w:rPr>
    </w:lvl>
    <w:lvl w:ilvl="2" w:tentative="0">
      <w:start w:val="1"/>
      <w:numFmt w:val="lowerRoman"/>
      <w:lvlText w:val="%3."/>
      <w:lvlJc w:val="right"/>
      <w:pPr>
        <w:tabs>
          <w:tab w:val="left" w:pos="2056"/>
        </w:tabs>
        <w:ind w:left="2056" w:hanging="420"/>
      </w:pPr>
    </w:lvl>
    <w:lvl w:ilvl="3" w:tentative="0">
      <w:start w:val="1"/>
      <w:numFmt w:val="decimal"/>
      <w:lvlText w:val="%4."/>
      <w:lvlJc w:val="left"/>
      <w:pPr>
        <w:tabs>
          <w:tab w:val="left" w:pos="2476"/>
        </w:tabs>
        <w:ind w:left="2476" w:hanging="420"/>
      </w:pPr>
    </w:lvl>
    <w:lvl w:ilvl="4" w:tentative="0">
      <w:start w:val="1"/>
      <w:numFmt w:val="lowerLetter"/>
      <w:lvlText w:val="%5)"/>
      <w:lvlJc w:val="left"/>
      <w:pPr>
        <w:tabs>
          <w:tab w:val="left" w:pos="2896"/>
        </w:tabs>
        <w:ind w:left="2896" w:hanging="420"/>
      </w:pPr>
    </w:lvl>
    <w:lvl w:ilvl="5" w:tentative="0">
      <w:start w:val="1"/>
      <w:numFmt w:val="lowerRoman"/>
      <w:lvlText w:val="%6."/>
      <w:lvlJc w:val="right"/>
      <w:pPr>
        <w:tabs>
          <w:tab w:val="left" w:pos="3316"/>
        </w:tabs>
        <w:ind w:left="3316" w:hanging="420"/>
      </w:pPr>
    </w:lvl>
    <w:lvl w:ilvl="6" w:tentative="0">
      <w:start w:val="1"/>
      <w:numFmt w:val="decimal"/>
      <w:lvlText w:val="%7."/>
      <w:lvlJc w:val="left"/>
      <w:pPr>
        <w:tabs>
          <w:tab w:val="left" w:pos="3736"/>
        </w:tabs>
        <w:ind w:left="3736" w:hanging="420"/>
      </w:pPr>
    </w:lvl>
    <w:lvl w:ilvl="7" w:tentative="0">
      <w:start w:val="1"/>
      <w:numFmt w:val="lowerLetter"/>
      <w:lvlText w:val="%8)"/>
      <w:lvlJc w:val="left"/>
      <w:pPr>
        <w:tabs>
          <w:tab w:val="left" w:pos="4156"/>
        </w:tabs>
        <w:ind w:left="4156" w:hanging="420"/>
      </w:pPr>
    </w:lvl>
    <w:lvl w:ilvl="8" w:tentative="0">
      <w:start w:val="1"/>
      <w:numFmt w:val="lowerRoman"/>
      <w:lvlText w:val="%9."/>
      <w:lvlJc w:val="right"/>
      <w:pPr>
        <w:tabs>
          <w:tab w:val="left" w:pos="4576"/>
        </w:tabs>
        <w:ind w:left="4576" w:hanging="420"/>
      </w:pPr>
    </w:lvl>
  </w:abstractNum>
  <w:abstractNum w:abstractNumId="12">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E273707"/>
    <w:multiLevelType w:val="multilevel"/>
    <w:tmpl w:val="5E273707"/>
    <w:lvl w:ilvl="0" w:tentative="0">
      <w:start w:val="1"/>
      <w:numFmt w:val="chineseCountingThousand"/>
      <w:lvlText w:val="（%1）"/>
      <w:lvlJc w:val="left"/>
      <w:pPr>
        <w:tabs>
          <w:tab w:val="left" w:pos="480"/>
        </w:tabs>
        <w:ind w:left="1418" w:hanging="938"/>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6">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6"/>
  </w:num>
  <w:num w:numId="7">
    <w:abstractNumId w:val="19"/>
  </w:num>
  <w:num w:numId="8">
    <w:abstractNumId w:val="1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
  </w:num>
  <w:num w:numId="12">
    <w:abstractNumId w:val="14"/>
  </w:num>
  <w:num w:numId="13">
    <w:abstractNumId w:val="29"/>
  </w:num>
  <w:num w:numId="14">
    <w:abstractNumId w:val="21"/>
  </w:num>
  <w:num w:numId="15">
    <w:abstractNumId w:val="23"/>
  </w:num>
  <w:num w:numId="16">
    <w:abstractNumId w:val="4"/>
  </w:num>
  <w:num w:numId="17">
    <w:abstractNumId w:val="18"/>
  </w:num>
  <w:num w:numId="18">
    <w:abstractNumId w:val="3"/>
  </w:num>
  <w:num w:numId="19">
    <w:abstractNumId w:val="28"/>
  </w:num>
  <w:num w:numId="20">
    <w:abstractNumId w:val="15"/>
  </w:num>
  <w:num w:numId="21">
    <w:abstractNumId w:val="24"/>
  </w:num>
  <w:num w:numId="22">
    <w:abstractNumId w:val="6"/>
  </w:num>
  <w:num w:numId="23">
    <w:abstractNumId w:val="5"/>
  </w:num>
  <w:num w:numId="24">
    <w:abstractNumId w:val="26"/>
  </w:num>
  <w:num w:numId="25">
    <w:abstractNumId w:val="2"/>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0"/>
  </w:num>
  <w:num w:numId="31">
    <w:abstractNumId w:val="7"/>
  </w:num>
  <w:num w:numId="32">
    <w:abstractNumId w:val="0"/>
  </w:num>
  <w:num w:numId="33">
    <w:abstractNumId w:val="2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00DA176C"/>
    <w:rsid w:val="00000536"/>
    <w:rsid w:val="0000486A"/>
    <w:rsid w:val="00033F19"/>
    <w:rsid w:val="00044344"/>
    <w:rsid w:val="0004456C"/>
    <w:rsid w:val="00065537"/>
    <w:rsid w:val="00077147"/>
    <w:rsid w:val="00097969"/>
    <w:rsid w:val="000A09B0"/>
    <w:rsid w:val="000A3E2F"/>
    <w:rsid w:val="000B14EB"/>
    <w:rsid w:val="000B3CAE"/>
    <w:rsid w:val="000D2204"/>
    <w:rsid w:val="000E1F35"/>
    <w:rsid w:val="000E7DB2"/>
    <w:rsid w:val="001006CD"/>
    <w:rsid w:val="00117EA9"/>
    <w:rsid w:val="00136DE6"/>
    <w:rsid w:val="00141B66"/>
    <w:rsid w:val="001529E6"/>
    <w:rsid w:val="00163A8F"/>
    <w:rsid w:val="00163B42"/>
    <w:rsid w:val="00167DC8"/>
    <w:rsid w:val="00173CFF"/>
    <w:rsid w:val="00183EB6"/>
    <w:rsid w:val="00184737"/>
    <w:rsid w:val="00184EC2"/>
    <w:rsid w:val="00184FD5"/>
    <w:rsid w:val="0019218B"/>
    <w:rsid w:val="00196E11"/>
    <w:rsid w:val="001A4C85"/>
    <w:rsid w:val="001B1DC8"/>
    <w:rsid w:val="001C0BD4"/>
    <w:rsid w:val="001C40AD"/>
    <w:rsid w:val="001D0DE6"/>
    <w:rsid w:val="001D6E62"/>
    <w:rsid w:val="001E2EA5"/>
    <w:rsid w:val="00201434"/>
    <w:rsid w:val="0020631D"/>
    <w:rsid w:val="00206567"/>
    <w:rsid w:val="00217EA1"/>
    <w:rsid w:val="002236EB"/>
    <w:rsid w:val="0022709E"/>
    <w:rsid w:val="00235975"/>
    <w:rsid w:val="002462DE"/>
    <w:rsid w:val="00250646"/>
    <w:rsid w:val="00254124"/>
    <w:rsid w:val="0025631A"/>
    <w:rsid w:val="00257E5F"/>
    <w:rsid w:val="002716F6"/>
    <w:rsid w:val="00284492"/>
    <w:rsid w:val="0028489E"/>
    <w:rsid w:val="00290C77"/>
    <w:rsid w:val="00294CCD"/>
    <w:rsid w:val="002C0445"/>
    <w:rsid w:val="002E613C"/>
    <w:rsid w:val="00315407"/>
    <w:rsid w:val="00323C0C"/>
    <w:rsid w:val="00326E7F"/>
    <w:rsid w:val="00331E4C"/>
    <w:rsid w:val="003469A9"/>
    <w:rsid w:val="0034732D"/>
    <w:rsid w:val="00361B01"/>
    <w:rsid w:val="003634EF"/>
    <w:rsid w:val="00364374"/>
    <w:rsid w:val="003707DD"/>
    <w:rsid w:val="00385088"/>
    <w:rsid w:val="00395504"/>
    <w:rsid w:val="003A2FFD"/>
    <w:rsid w:val="003A6294"/>
    <w:rsid w:val="003D2FD1"/>
    <w:rsid w:val="003D320B"/>
    <w:rsid w:val="003E2E90"/>
    <w:rsid w:val="003E398F"/>
    <w:rsid w:val="003F03D8"/>
    <w:rsid w:val="00401F20"/>
    <w:rsid w:val="0041089B"/>
    <w:rsid w:val="0041281A"/>
    <w:rsid w:val="00415E19"/>
    <w:rsid w:val="004217B6"/>
    <w:rsid w:val="00422EE8"/>
    <w:rsid w:val="00423DD4"/>
    <w:rsid w:val="0042628F"/>
    <w:rsid w:val="00442B52"/>
    <w:rsid w:val="0045674E"/>
    <w:rsid w:val="00460A53"/>
    <w:rsid w:val="00474DC6"/>
    <w:rsid w:val="0047683E"/>
    <w:rsid w:val="00481ED0"/>
    <w:rsid w:val="00490CD9"/>
    <w:rsid w:val="004A4CCF"/>
    <w:rsid w:val="004B4B10"/>
    <w:rsid w:val="004D31D4"/>
    <w:rsid w:val="004D3E52"/>
    <w:rsid w:val="004D7CF8"/>
    <w:rsid w:val="004F1F17"/>
    <w:rsid w:val="004F4D90"/>
    <w:rsid w:val="00500E9B"/>
    <w:rsid w:val="005068A2"/>
    <w:rsid w:val="005119C5"/>
    <w:rsid w:val="00521428"/>
    <w:rsid w:val="00521C8E"/>
    <w:rsid w:val="00523262"/>
    <w:rsid w:val="0052636C"/>
    <w:rsid w:val="00533D66"/>
    <w:rsid w:val="00534922"/>
    <w:rsid w:val="00546A67"/>
    <w:rsid w:val="00562DF4"/>
    <w:rsid w:val="0057016F"/>
    <w:rsid w:val="00582635"/>
    <w:rsid w:val="00590064"/>
    <w:rsid w:val="00591AB6"/>
    <w:rsid w:val="005B008E"/>
    <w:rsid w:val="005B29E8"/>
    <w:rsid w:val="005D0B12"/>
    <w:rsid w:val="00603574"/>
    <w:rsid w:val="006103AD"/>
    <w:rsid w:val="00613A10"/>
    <w:rsid w:val="0061666D"/>
    <w:rsid w:val="00622680"/>
    <w:rsid w:val="00631A74"/>
    <w:rsid w:val="00642B1F"/>
    <w:rsid w:val="00643EE8"/>
    <w:rsid w:val="006444BB"/>
    <w:rsid w:val="0064552D"/>
    <w:rsid w:val="00645533"/>
    <w:rsid w:val="006510FF"/>
    <w:rsid w:val="0065227A"/>
    <w:rsid w:val="00656A9A"/>
    <w:rsid w:val="006609D1"/>
    <w:rsid w:val="00664B67"/>
    <w:rsid w:val="006729C2"/>
    <w:rsid w:val="00682729"/>
    <w:rsid w:val="00682B66"/>
    <w:rsid w:val="00694461"/>
    <w:rsid w:val="00697D34"/>
    <w:rsid w:val="006A0618"/>
    <w:rsid w:val="006A10F9"/>
    <w:rsid w:val="006A3965"/>
    <w:rsid w:val="006A3EE8"/>
    <w:rsid w:val="006B37B8"/>
    <w:rsid w:val="006C3035"/>
    <w:rsid w:val="006C48FC"/>
    <w:rsid w:val="006C73CD"/>
    <w:rsid w:val="006C77DC"/>
    <w:rsid w:val="006D611F"/>
    <w:rsid w:val="006D6700"/>
    <w:rsid w:val="006E19D5"/>
    <w:rsid w:val="006F0451"/>
    <w:rsid w:val="006F104E"/>
    <w:rsid w:val="006F2A1C"/>
    <w:rsid w:val="0070003C"/>
    <w:rsid w:val="0070213A"/>
    <w:rsid w:val="00713411"/>
    <w:rsid w:val="00717187"/>
    <w:rsid w:val="007209C1"/>
    <w:rsid w:val="00724404"/>
    <w:rsid w:val="007314E4"/>
    <w:rsid w:val="00732246"/>
    <w:rsid w:val="00735C72"/>
    <w:rsid w:val="00760705"/>
    <w:rsid w:val="00772082"/>
    <w:rsid w:val="00777BE7"/>
    <w:rsid w:val="007A31DD"/>
    <w:rsid w:val="007A5E84"/>
    <w:rsid w:val="007A5ED0"/>
    <w:rsid w:val="007A64FF"/>
    <w:rsid w:val="007B6642"/>
    <w:rsid w:val="007C047E"/>
    <w:rsid w:val="007D1979"/>
    <w:rsid w:val="007E2190"/>
    <w:rsid w:val="007F654C"/>
    <w:rsid w:val="00802F0D"/>
    <w:rsid w:val="008125EE"/>
    <w:rsid w:val="008220CA"/>
    <w:rsid w:val="00827E1A"/>
    <w:rsid w:val="00832A09"/>
    <w:rsid w:val="00836CAB"/>
    <w:rsid w:val="008409A2"/>
    <w:rsid w:val="008528DD"/>
    <w:rsid w:val="00860CAD"/>
    <w:rsid w:val="00861AAD"/>
    <w:rsid w:val="00862962"/>
    <w:rsid w:val="00863E06"/>
    <w:rsid w:val="00865146"/>
    <w:rsid w:val="00871925"/>
    <w:rsid w:val="00883B14"/>
    <w:rsid w:val="008848DB"/>
    <w:rsid w:val="00884D7D"/>
    <w:rsid w:val="00884EF3"/>
    <w:rsid w:val="00890EF0"/>
    <w:rsid w:val="00896A0E"/>
    <w:rsid w:val="008A50C4"/>
    <w:rsid w:val="008A6AC4"/>
    <w:rsid w:val="008B41C3"/>
    <w:rsid w:val="008D1414"/>
    <w:rsid w:val="008D296C"/>
    <w:rsid w:val="008D3E4C"/>
    <w:rsid w:val="00913497"/>
    <w:rsid w:val="00921D81"/>
    <w:rsid w:val="009235A7"/>
    <w:rsid w:val="0092363C"/>
    <w:rsid w:val="00923FA6"/>
    <w:rsid w:val="00936E7D"/>
    <w:rsid w:val="00941A2B"/>
    <w:rsid w:val="00942343"/>
    <w:rsid w:val="00944751"/>
    <w:rsid w:val="00950B96"/>
    <w:rsid w:val="00965A3D"/>
    <w:rsid w:val="00976768"/>
    <w:rsid w:val="009778B0"/>
    <w:rsid w:val="00980592"/>
    <w:rsid w:val="0099025E"/>
    <w:rsid w:val="009C0CC8"/>
    <w:rsid w:val="009C23F3"/>
    <w:rsid w:val="009C4DB2"/>
    <w:rsid w:val="009D118A"/>
    <w:rsid w:val="009D4C99"/>
    <w:rsid w:val="009E00B3"/>
    <w:rsid w:val="009E46DB"/>
    <w:rsid w:val="009F2331"/>
    <w:rsid w:val="00A06348"/>
    <w:rsid w:val="00A07D07"/>
    <w:rsid w:val="00A1080C"/>
    <w:rsid w:val="00A121C5"/>
    <w:rsid w:val="00A242EC"/>
    <w:rsid w:val="00A31041"/>
    <w:rsid w:val="00A36B1D"/>
    <w:rsid w:val="00A42E97"/>
    <w:rsid w:val="00A46DFB"/>
    <w:rsid w:val="00A56910"/>
    <w:rsid w:val="00A739AE"/>
    <w:rsid w:val="00A879AA"/>
    <w:rsid w:val="00A915D4"/>
    <w:rsid w:val="00AB779A"/>
    <w:rsid w:val="00AB79DD"/>
    <w:rsid w:val="00AB7C07"/>
    <w:rsid w:val="00AC3785"/>
    <w:rsid w:val="00AC5E5C"/>
    <w:rsid w:val="00AD12D0"/>
    <w:rsid w:val="00AD407B"/>
    <w:rsid w:val="00AE78AA"/>
    <w:rsid w:val="00AF577D"/>
    <w:rsid w:val="00B11FE1"/>
    <w:rsid w:val="00B1312F"/>
    <w:rsid w:val="00B25DE6"/>
    <w:rsid w:val="00B26C16"/>
    <w:rsid w:val="00B3665E"/>
    <w:rsid w:val="00B426E2"/>
    <w:rsid w:val="00B521E2"/>
    <w:rsid w:val="00B52EC3"/>
    <w:rsid w:val="00B64946"/>
    <w:rsid w:val="00B73E8F"/>
    <w:rsid w:val="00B75F34"/>
    <w:rsid w:val="00BB066A"/>
    <w:rsid w:val="00BC0573"/>
    <w:rsid w:val="00BC253C"/>
    <w:rsid w:val="00BC5508"/>
    <w:rsid w:val="00BC762D"/>
    <w:rsid w:val="00BE11AA"/>
    <w:rsid w:val="00BE2504"/>
    <w:rsid w:val="00BF4C77"/>
    <w:rsid w:val="00C0403E"/>
    <w:rsid w:val="00C0458A"/>
    <w:rsid w:val="00C14DBB"/>
    <w:rsid w:val="00C16A84"/>
    <w:rsid w:val="00C177E6"/>
    <w:rsid w:val="00C2655C"/>
    <w:rsid w:val="00C31866"/>
    <w:rsid w:val="00C34D6C"/>
    <w:rsid w:val="00C36E2D"/>
    <w:rsid w:val="00C6464F"/>
    <w:rsid w:val="00C7049B"/>
    <w:rsid w:val="00C72AEF"/>
    <w:rsid w:val="00C85BC8"/>
    <w:rsid w:val="00C91322"/>
    <w:rsid w:val="00C95A1A"/>
    <w:rsid w:val="00CA1FB1"/>
    <w:rsid w:val="00CA2CCC"/>
    <w:rsid w:val="00CA3EEC"/>
    <w:rsid w:val="00CB750D"/>
    <w:rsid w:val="00CC4333"/>
    <w:rsid w:val="00CD103C"/>
    <w:rsid w:val="00CD4A0A"/>
    <w:rsid w:val="00CD75E2"/>
    <w:rsid w:val="00CE0D04"/>
    <w:rsid w:val="00CE3606"/>
    <w:rsid w:val="00CE633A"/>
    <w:rsid w:val="00CF3002"/>
    <w:rsid w:val="00D01DB4"/>
    <w:rsid w:val="00D1178F"/>
    <w:rsid w:val="00D578D0"/>
    <w:rsid w:val="00D63126"/>
    <w:rsid w:val="00D66D81"/>
    <w:rsid w:val="00D7622D"/>
    <w:rsid w:val="00D85620"/>
    <w:rsid w:val="00D9086B"/>
    <w:rsid w:val="00DA176C"/>
    <w:rsid w:val="00DA5979"/>
    <w:rsid w:val="00DD1684"/>
    <w:rsid w:val="00DE0E1C"/>
    <w:rsid w:val="00DE1CF0"/>
    <w:rsid w:val="00DF011B"/>
    <w:rsid w:val="00E1687D"/>
    <w:rsid w:val="00E3420A"/>
    <w:rsid w:val="00E35E83"/>
    <w:rsid w:val="00E43EDB"/>
    <w:rsid w:val="00E44404"/>
    <w:rsid w:val="00E451E5"/>
    <w:rsid w:val="00E54F35"/>
    <w:rsid w:val="00E674CE"/>
    <w:rsid w:val="00E87247"/>
    <w:rsid w:val="00E95A19"/>
    <w:rsid w:val="00E96411"/>
    <w:rsid w:val="00EA2411"/>
    <w:rsid w:val="00EA72EE"/>
    <w:rsid w:val="00EA7AE2"/>
    <w:rsid w:val="00EB4472"/>
    <w:rsid w:val="00EC0139"/>
    <w:rsid w:val="00EC5143"/>
    <w:rsid w:val="00EC5293"/>
    <w:rsid w:val="00EE2286"/>
    <w:rsid w:val="00EE6A16"/>
    <w:rsid w:val="00EE6CDC"/>
    <w:rsid w:val="00EF0005"/>
    <w:rsid w:val="00EF01C8"/>
    <w:rsid w:val="00F04B4C"/>
    <w:rsid w:val="00F13750"/>
    <w:rsid w:val="00F17966"/>
    <w:rsid w:val="00F2194A"/>
    <w:rsid w:val="00F32F9C"/>
    <w:rsid w:val="00F342D7"/>
    <w:rsid w:val="00F36A29"/>
    <w:rsid w:val="00F5151D"/>
    <w:rsid w:val="00F52A05"/>
    <w:rsid w:val="00F61D93"/>
    <w:rsid w:val="00F621D4"/>
    <w:rsid w:val="00F73326"/>
    <w:rsid w:val="00F81164"/>
    <w:rsid w:val="00F83F5E"/>
    <w:rsid w:val="00F84768"/>
    <w:rsid w:val="00F85AE0"/>
    <w:rsid w:val="00F90757"/>
    <w:rsid w:val="00F91939"/>
    <w:rsid w:val="00F91C9D"/>
    <w:rsid w:val="00FA71B1"/>
    <w:rsid w:val="00FB0610"/>
    <w:rsid w:val="00FB26C2"/>
    <w:rsid w:val="00FB56FD"/>
    <w:rsid w:val="00FC7778"/>
    <w:rsid w:val="00FD3305"/>
    <w:rsid w:val="00FE65D8"/>
    <w:rsid w:val="00FF3C5E"/>
    <w:rsid w:val="00FF4CA4"/>
    <w:rsid w:val="0108035A"/>
    <w:rsid w:val="01DE139B"/>
    <w:rsid w:val="023A5CA6"/>
    <w:rsid w:val="037E280C"/>
    <w:rsid w:val="04013310"/>
    <w:rsid w:val="04ED176E"/>
    <w:rsid w:val="05123957"/>
    <w:rsid w:val="05F02E8B"/>
    <w:rsid w:val="0678567C"/>
    <w:rsid w:val="06966A0D"/>
    <w:rsid w:val="069A3EBB"/>
    <w:rsid w:val="06C05AF1"/>
    <w:rsid w:val="06ED4C8A"/>
    <w:rsid w:val="07402BF3"/>
    <w:rsid w:val="07DE6A9A"/>
    <w:rsid w:val="08A008A9"/>
    <w:rsid w:val="09ED154E"/>
    <w:rsid w:val="0AB90B39"/>
    <w:rsid w:val="0B74376A"/>
    <w:rsid w:val="0B95212F"/>
    <w:rsid w:val="0BB23C45"/>
    <w:rsid w:val="0BDF6B5E"/>
    <w:rsid w:val="0BFB4B3E"/>
    <w:rsid w:val="0C10126D"/>
    <w:rsid w:val="0C835C86"/>
    <w:rsid w:val="0CCC4D37"/>
    <w:rsid w:val="0CEA3DD7"/>
    <w:rsid w:val="0D486975"/>
    <w:rsid w:val="0D5516E5"/>
    <w:rsid w:val="0D933ACB"/>
    <w:rsid w:val="0E374ADB"/>
    <w:rsid w:val="0F140BE0"/>
    <w:rsid w:val="0F646F20"/>
    <w:rsid w:val="0F7E4A8B"/>
    <w:rsid w:val="0F871FC5"/>
    <w:rsid w:val="0FB03BC1"/>
    <w:rsid w:val="10034A31"/>
    <w:rsid w:val="101D6B53"/>
    <w:rsid w:val="10330F2A"/>
    <w:rsid w:val="109F51D7"/>
    <w:rsid w:val="109F534B"/>
    <w:rsid w:val="10C51415"/>
    <w:rsid w:val="11CD504A"/>
    <w:rsid w:val="12553EE6"/>
    <w:rsid w:val="125B5A1E"/>
    <w:rsid w:val="128B44A8"/>
    <w:rsid w:val="12B82E37"/>
    <w:rsid w:val="12ED5D11"/>
    <w:rsid w:val="132D4483"/>
    <w:rsid w:val="136E40A3"/>
    <w:rsid w:val="13783DEF"/>
    <w:rsid w:val="14022DC6"/>
    <w:rsid w:val="14676F8C"/>
    <w:rsid w:val="14953C66"/>
    <w:rsid w:val="14A56630"/>
    <w:rsid w:val="14D14947"/>
    <w:rsid w:val="155A5C64"/>
    <w:rsid w:val="15DB0161"/>
    <w:rsid w:val="15E72011"/>
    <w:rsid w:val="16032A72"/>
    <w:rsid w:val="163F21FC"/>
    <w:rsid w:val="16B117B2"/>
    <w:rsid w:val="1740136A"/>
    <w:rsid w:val="18A017D0"/>
    <w:rsid w:val="18B40D68"/>
    <w:rsid w:val="1920603D"/>
    <w:rsid w:val="19BE75D5"/>
    <w:rsid w:val="19D156D5"/>
    <w:rsid w:val="19F438AD"/>
    <w:rsid w:val="1AF220BF"/>
    <w:rsid w:val="1B042819"/>
    <w:rsid w:val="1B1E67F9"/>
    <w:rsid w:val="1B55718B"/>
    <w:rsid w:val="1B940553"/>
    <w:rsid w:val="1BBF01D1"/>
    <w:rsid w:val="1C6015F0"/>
    <w:rsid w:val="1D7768AC"/>
    <w:rsid w:val="1DA819EC"/>
    <w:rsid w:val="1DDF6CDF"/>
    <w:rsid w:val="1E98498C"/>
    <w:rsid w:val="1F08721A"/>
    <w:rsid w:val="1F3E042B"/>
    <w:rsid w:val="206A5AD0"/>
    <w:rsid w:val="21240AF9"/>
    <w:rsid w:val="218B57C8"/>
    <w:rsid w:val="22040172"/>
    <w:rsid w:val="22261F52"/>
    <w:rsid w:val="227B7559"/>
    <w:rsid w:val="227D7C28"/>
    <w:rsid w:val="22F91935"/>
    <w:rsid w:val="234B4704"/>
    <w:rsid w:val="23860994"/>
    <w:rsid w:val="238E0DF3"/>
    <w:rsid w:val="23C53D86"/>
    <w:rsid w:val="23F82917"/>
    <w:rsid w:val="24015D59"/>
    <w:rsid w:val="247E30D0"/>
    <w:rsid w:val="249621E5"/>
    <w:rsid w:val="249C332D"/>
    <w:rsid w:val="24BD67EB"/>
    <w:rsid w:val="24D13FDD"/>
    <w:rsid w:val="2529624F"/>
    <w:rsid w:val="25DD08DB"/>
    <w:rsid w:val="26C9241A"/>
    <w:rsid w:val="26E2175C"/>
    <w:rsid w:val="26E53D16"/>
    <w:rsid w:val="273C148D"/>
    <w:rsid w:val="277C301E"/>
    <w:rsid w:val="277D6996"/>
    <w:rsid w:val="2781206F"/>
    <w:rsid w:val="278475AC"/>
    <w:rsid w:val="280705CF"/>
    <w:rsid w:val="2853500D"/>
    <w:rsid w:val="29073504"/>
    <w:rsid w:val="295C2274"/>
    <w:rsid w:val="296718CC"/>
    <w:rsid w:val="29962E3B"/>
    <w:rsid w:val="29D972DD"/>
    <w:rsid w:val="29F57A87"/>
    <w:rsid w:val="29FF63B1"/>
    <w:rsid w:val="2A3A264E"/>
    <w:rsid w:val="2B87588A"/>
    <w:rsid w:val="2B920E35"/>
    <w:rsid w:val="2BAB09E5"/>
    <w:rsid w:val="2C3957F2"/>
    <w:rsid w:val="2C6132AD"/>
    <w:rsid w:val="2C663E99"/>
    <w:rsid w:val="2CC02285"/>
    <w:rsid w:val="2CFD291E"/>
    <w:rsid w:val="2D1812EA"/>
    <w:rsid w:val="2D4B53F8"/>
    <w:rsid w:val="2D6F5CAE"/>
    <w:rsid w:val="2DD7361B"/>
    <w:rsid w:val="2F1124FE"/>
    <w:rsid w:val="2F341465"/>
    <w:rsid w:val="307165CD"/>
    <w:rsid w:val="316B6F01"/>
    <w:rsid w:val="31D34E77"/>
    <w:rsid w:val="327C0651"/>
    <w:rsid w:val="32F96E5D"/>
    <w:rsid w:val="3387194B"/>
    <w:rsid w:val="33BC28F8"/>
    <w:rsid w:val="33E65B1A"/>
    <w:rsid w:val="33FD4EC6"/>
    <w:rsid w:val="3408470F"/>
    <w:rsid w:val="343C181D"/>
    <w:rsid w:val="34B26D5D"/>
    <w:rsid w:val="351F4A13"/>
    <w:rsid w:val="35572EC3"/>
    <w:rsid w:val="35EF391E"/>
    <w:rsid w:val="3604148F"/>
    <w:rsid w:val="36445510"/>
    <w:rsid w:val="367000B2"/>
    <w:rsid w:val="36DB7AC9"/>
    <w:rsid w:val="37604C3E"/>
    <w:rsid w:val="37E80937"/>
    <w:rsid w:val="38A87DE8"/>
    <w:rsid w:val="38D109A9"/>
    <w:rsid w:val="38D57F98"/>
    <w:rsid w:val="38E96500"/>
    <w:rsid w:val="393850E7"/>
    <w:rsid w:val="39441E7B"/>
    <w:rsid w:val="39F504C6"/>
    <w:rsid w:val="3A223195"/>
    <w:rsid w:val="3B30287A"/>
    <w:rsid w:val="3BC13445"/>
    <w:rsid w:val="3BE36094"/>
    <w:rsid w:val="3C2B76EC"/>
    <w:rsid w:val="3C6F5F56"/>
    <w:rsid w:val="3C780677"/>
    <w:rsid w:val="3CD619A2"/>
    <w:rsid w:val="3CE40590"/>
    <w:rsid w:val="3DE67AEF"/>
    <w:rsid w:val="3EED17D0"/>
    <w:rsid w:val="3F2350B4"/>
    <w:rsid w:val="3F4003A2"/>
    <w:rsid w:val="3FDB660C"/>
    <w:rsid w:val="405555FE"/>
    <w:rsid w:val="40CC5750"/>
    <w:rsid w:val="40DE674C"/>
    <w:rsid w:val="41C20D84"/>
    <w:rsid w:val="420D6DE3"/>
    <w:rsid w:val="438038CD"/>
    <w:rsid w:val="43813BE8"/>
    <w:rsid w:val="44921407"/>
    <w:rsid w:val="44B02C63"/>
    <w:rsid w:val="45473DD6"/>
    <w:rsid w:val="45486818"/>
    <w:rsid w:val="45873B9E"/>
    <w:rsid w:val="45DC04DF"/>
    <w:rsid w:val="45E9196F"/>
    <w:rsid w:val="46561836"/>
    <w:rsid w:val="469D49BC"/>
    <w:rsid w:val="46B27E3D"/>
    <w:rsid w:val="46D86895"/>
    <w:rsid w:val="46F012F9"/>
    <w:rsid w:val="488F1B00"/>
    <w:rsid w:val="48A52518"/>
    <w:rsid w:val="49196BEA"/>
    <w:rsid w:val="49453D5E"/>
    <w:rsid w:val="49900FBF"/>
    <w:rsid w:val="49DB17B3"/>
    <w:rsid w:val="4A11747C"/>
    <w:rsid w:val="4A646B06"/>
    <w:rsid w:val="4AD20F98"/>
    <w:rsid w:val="4B0E3842"/>
    <w:rsid w:val="4B74697D"/>
    <w:rsid w:val="4B8768C5"/>
    <w:rsid w:val="4BFB12E4"/>
    <w:rsid w:val="4C052251"/>
    <w:rsid w:val="4CC968F1"/>
    <w:rsid w:val="4D16313C"/>
    <w:rsid w:val="4D2E2B7B"/>
    <w:rsid w:val="4D8D08FA"/>
    <w:rsid w:val="4DBE3EA4"/>
    <w:rsid w:val="4EAA1E75"/>
    <w:rsid w:val="4EBE3A8B"/>
    <w:rsid w:val="4F183F51"/>
    <w:rsid w:val="501D4AA3"/>
    <w:rsid w:val="5093216D"/>
    <w:rsid w:val="50C8669D"/>
    <w:rsid w:val="51A87F20"/>
    <w:rsid w:val="51BD6549"/>
    <w:rsid w:val="51EA7325"/>
    <w:rsid w:val="527D6C7F"/>
    <w:rsid w:val="532A3805"/>
    <w:rsid w:val="537F397C"/>
    <w:rsid w:val="5386721B"/>
    <w:rsid w:val="54B84FF0"/>
    <w:rsid w:val="54DF3F75"/>
    <w:rsid w:val="556307CA"/>
    <w:rsid w:val="556755C3"/>
    <w:rsid w:val="55DF727A"/>
    <w:rsid w:val="55E733AF"/>
    <w:rsid w:val="56EF2FED"/>
    <w:rsid w:val="570E6F6E"/>
    <w:rsid w:val="57297D9E"/>
    <w:rsid w:val="574837DE"/>
    <w:rsid w:val="57A20E46"/>
    <w:rsid w:val="587439CA"/>
    <w:rsid w:val="58D90C2E"/>
    <w:rsid w:val="5967493B"/>
    <w:rsid w:val="599B445E"/>
    <w:rsid w:val="5B5E462C"/>
    <w:rsid w:val="5BA74225"/>
    <w:rsid w:val="5C0F5ECE"/>
    <w:rsid w:val="5C221F2B"/>
    <w:rsid w:val="5D6C56D3"/>
    <w:rsid w:val="5E071FDA"/>
    <w:rsid w:val="5ECB647C"/>
    <w:rsid w:val="5F1115F6"/>
    <w:rsid w:val="5F24373C"/>
    <w:rsid w:val="5F332C06"/>
    <w:rsid w:val="5F7432EE"/>
    <w:rsid w:val="5FBB77C9"/>
    <w:rsid w:val="5FDA72F3"/>
    <w:rsid w:val="5FFA1089"/>
    <w:rsid w:val="60126552"/>
    <w:rsid w:val="60A55186"/>
    <w:rsid w:val="60D44CCE"/>
    <w:rsid w:val="611B0228"/>
    <w:rsid w:val="61237167"/>
    <w:rsid w:val="61A16F86"/>
    <w:rsid w:val="627D22F5"/>
    <w:rsid w:val="633F11E7"/>
    <w:rsid w:val="63B80F98"/>
    <w:rsid w:val="63D950CC"/>
    <w:rsid w:val="64223687"/>
    <w:rsid w:val="645B3E37"/>
    <w:rsid w:val="64CC22D6"/>
    <w:rsid w:val="657C664F"/>
    <w:rsid w:val="65CF7A1C"/>
    <w:rsid w:val="65DE16A6"/>
    <w:rsid w:val="65DE7E00"/>
    <w:rsid w:val="66D419D9"/>
    <w:rsid w:val="671A0E61"/>
    <w:rsid w:val="672B78DD"/>
    <w:rsid w:val="677B6766"/>
    <w:rsid w:val="68C05304"/>
    <w:rsid w:val="69301121"/>
    <w:rsid w:val="69514662"/>
    <w:rsid w:val="69B20D5A"/>
    <w:rsid w:val="69DE26C2"/>
    <w:rsid w:val="69E45E10"/>
    <w:rsid w:val="69F538E2"/>
    <w:rsid w:val="6A860BF5"/>
    <w:rsid w:val="6AB37683"/>
    <w:rsid w:val="6AE33467"/>
    <w:rsid w:val="6B263BAD"/>
    <w:rsid w:val="6BD94DF5"/>
    <w:rsid w:val="6DF96E93"/>
    <w:rsid w:val="6E1D7353"/>
    <w:rsid w:val="6E56517D"/>
    <w:rsid w:val="6F037B1D"/>
    <w:rsid w:val="6F3F11CA"/>
    <w:rsid w:val="6F7C5210"/>
    <w:rsid w:val="70172DE1"/>
    <w:rsid w:val="7021607F"/>
    <w:rsid w:val="707263E0"/>
    <w:rsid w:val="70C61536"/>
    <w:rsid w:val="70E25D19"/>
    <w:rsid w:val="712B40AC"/>
    <w:rsid w:val="71456B57"/>
    <w:rsid w:val="71743189"/>
    <w:rsid w:val="71D4623C"/>
    <w:rsid w:val="726657B6"/>
    <w:rsid w:val="72B703DB"/>
    <w:rsid w:val="72EC2B19"/>
    <w:rsid w:val="73B9469D"/>
    <w:rsid w:val="73EA0FA4"/>
    <w:rsid w:val="73F3733E"/>
    <w:rsid w:val="747A4D6C"/>
    <w:rsid w:val="74E7015A"/>
    <w:rsid w:val="75705230"/>
    <w:rsid w:val="75836AE4"/>
    <w:rsid w:val="76090539"/>
    <w:rsid w:val="76257D72"/>
    <w:rsid w:val="763A00A4"/>
    <w:rsid w:val="768F6F06"/>
    <w:rsid w:val="778E3D81"/>
    <w:rsid w:val="77E12678"/>
    <w:rsid w:val="77E164E9"/>
    <w:rsid w:val="78066B35"/>
    <w:rsid w:val="7822226C"/>
    <w:rsid w:val="78454039"/>
    <w:rsid w:val="78532FAF"/>
    <w:rsid w:val="78571D34"/>
    <w:rsid w:val="788F5AFA"/>
    <w:rsid w:val="78D2638A"/>
    <w:rsid w:val="79796D50"/>
    <w:rsid w:val="79D7073E"/>
    <w:rsid w:val="79F51317"/>
    <w:rsid w:val="7AA46521"/>
    <w:rsid w:val="7B4E3F05"/>
    <w:rsid w:val="7B58479C"/>
    <w:rsid w:val="7BA40CAD"/>
    <w:rsid w:val="7BA8781C"/>
    <w:rsid w:val="7CD438A5"/>
    <w:rsid w:val="7CE34D56"/>
    <w:rsid w:val="7CF25F07"/>
    <w:rsid w:val="7E450F42"/>
    <w:rsid w:val="7E550A37"/>
    <w:rsid w:val="7F0B4762"/>
    <w:rsid w:val="7F8D6B2E"/>
    <w:rsid w:val="7FD95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4"/>
    <w:qFormat/>
    <w:uiPriority w:val="0"/>
    <w:pPr>
      <w:keepNext/>
      <w:keepLines/>
      <w:spacing w:before="340" w:after="330"/>
    </w:pPr>
    <w:rPr>
      <w:bCs/>
      <w:kern w:val="44"/>
      <w:sz w:val="28"/>
      <w:szCs w:val="44"/>
    </w:rPr>
  </w:style>
  <w:style w:type="paragraph" w:styleId="5">
    <w:name w:val="heading 2"/>
    <w:basedOn w:val="6"/>
    <w:next w:val="1"/>
    <w:link w:val="55"/>
    <w:qFormat/>
    <w:uiPriority w:val="0"/>
    <w:pPr>
      <w:spacing w:line="240" w:lineRule="atLeast"/>
      <w:jc w:val="left"/>
      <w:outlineLvl w:val="1"/>
    </w:pPr>
    <w:rPr>
      <w:rFonts w:ascii="Arial" w:hAnsi="Arial"/>
    </w:rPr>
  </w:style>
  <w:style w:type="paragraph" w:styleId="6">
    <w:name w:val="heading 3"/>
    <w:basedOn w:val="1"/>
    <w:next w:val="1"/>
    <w:link w:val="58"/>
    <w:qFormat/>
    <w:uiPriority w:val="0"/>
    <w:pPr>
      <w:keepNext/>
      <w:keepLines/>
      <w:spacing w:before="260" w:after="260" w:line="416" w:lineRule="auto"/>
      <w:outlineLvl w:val="2"/>
    </w:pPr>
    <w:rPr>
      <w:b/>
      <w:bCs/>
      <w:kern w:val="0"/>
      <w:sz w:val="24"/>
      <w:szCs w:val="32"/>
    </w:rPr>
  </w:style>
  <w:style w:type="paragraph" w:styleId="7">
    <w:name w:val="heading 4"/>
    <w:basedOn w:val="1"/>
    <w:next w:val="1"/>
    <w:link w:val="59"/>
    <w:qFormat/>
    <w:uiPriority w:val="9"/>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60"/>
    <w:qFormat/>
    <w:uiPriority w:val="0"/>
    <w:pPr>
      <w:keepNext/>
      <w:keepLines/>
      <w:widowControl/>
      <w:spacing w:before="280" w:after="290" w:line="376" w:lineRule="auto"/>
      <w:jc w:val="left"/>
      <w:outlineLvl w:val="4"/>
    </w:pPr>
    <w:rPr>
      <w:rFonts w:ascii="Calibri" w:hAnsi="Calibri"/>
      <w:b/>
      <w:bCs/>
      <w:kern w:val="0"/>
      <w:sz w:val="28"/>
      <w:szCs w:val="28"/>
    </w:rPr>
  </w:style>
  <w:style w:type="paragraph" w:styleId="9">
    <w:name w:val="heading 6"/>
    <w:basedOn w:val="1"/>
    <w:next w:val="1"/>
    <w:link w:val="61"/>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10">
    <w:name w:val="heading 7"/>
    <w:basedOn w:val="1"/>
    <w:next w:val="1"/>
    <w:link w:val="62"/>
    <w:qFormat/>
    <w:uiPriority w:val="0"/>
    <w:pPr>
      <w:keepNext/>
      <w:keepLines/>
      <w:widowControl/>
      <w:spacing w:before="240" w:after="64" w:line="320" w:lineRule="auto"/>
      <w:jc w:val="left"/>
      <w:outlineLvl w:val="6"/>
    </w:pPr>
    <w:rPr>
      <w:rFonts w:ascii="Calibri" w:hAnsi="Calibri"/>
      <w:b/>
      <w:bCs/>
      <w:kern w:val="0"/>
      <w:sz w:val="24"/>
    </w:rPr>
  </w:style>
  <w:style w:type="paragraph" w:styleId="11">
    <w:name w:val="heading 8"/>
    <w:basedOn w:val="1"/>
    <w:next w:val="1"/>
    <w:link w:val="63"/>
    <w:qFormat/>
    <w:uiPriority w:val="0"/>
    <w:pPr>
      <w:keepNext/>
      <w:keepLines/>
      <w:widowControl/>
      <w:spacing w:before="240" w:after="64" w:line="320" w:lineRule="auto"/>
      <w:jc w:val="left"/>
      <w:outlineLvl w:val="7"/>
    </w:pPr>
    <w:rPr>
      <w:rFonts w:ascii="Arial" w:hAnsi="Arial" w:eastAsia="黑体"/>
      <w:kern w:val="0"/>
      <w:sz w:val="24"/>
    </w:rPr>
  </w:style>
  <w:style w:type="paragraph" w:styleId="12">
    <w:name w:val="heading 9"/>
    <w:basedOn w:val="1"/>
    <w:next w:val="1"/>
    <w:link w:val="64"/>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33"/>
    <w:qFormat/>
    <w:uiPriority w:val="0"/>
    <w:pPr>
      <w:spacing w:after="120"/>
    </w:pPr>
    <w:rPr>
      <w:rFonts w:ascii="Calibri" w:hAnsi="Calibri"/>
    </w:rPr>
  </w:style>
  <w:style w:type="paragraph" w:styleId="4">
    <w:name w:val="Title"/>
    <w:basedOn w:val="1"/>
    <w:qFormat/>
    <w:uiPriority w:val="10"/>
    <w:pPr>
      <w:spacing w:before="240" w:after="60"/>
      <w:jc w:val="center"/>
      <w:outlineLvl w:val="0"/>
    </w:pPr>
    <w:rPr>
      <w:rFonts w:ascii="Arial" w:hAnsi="Arial"/>
      <w:b/>
      <w:sz w:val="32"/>
    </w:r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Normal Indent"/>
    <w:basedOn w:val="1"/>
    <w:link w:val="81"/>
    <w:qFormat/>
    <w:uiPriority w:val="0"/>
    <w:pPr>
      <w:ind w:firstLine="420"/>
    </w:pPr>
    <w:rPr>
      <w:rFonts w:asciiTheme="minorHAnsi" w:hAnsiTheme="minorHAnsi" w:cstheme="minorBidi"/>
      <w:szCs w:val="22"/>
    </w:rPr>
  </w:style>
  <w:style w:type="paragraph" w:styleId="15">
    <w:name w:val="Document Map"/>
    <w:basedOn w:val="1"/>
    <w:link w:val="92"/>
    <w:semiHidden/>
    <w:qFormat/>
    <w:uiPriority w:val="0"/>
    <w:pPr>
      <w:shd w:val="clear" w:color="auto" w:fill="000080"/>
    </w:pPr>
  </w:style>
  <w:style w:type="paragraph" w:styleId="16">
    <w:name w:val="annotation text"/>
    <w:basedOn w:val="1"/>
    <w:next w:val="17"/>
    <w:link w:val="70"/>
    <w:qFormat/>
    <w:uiPriority w:val="0"/>
    <w:pPr>
      <w:jc w:val="left"/>
    </w:pPr>
    <w:rPr>
      <w:rFonts w:eastAsiaTheme="minorEastAsia" w:cstheme="minorBidi"/>
      <w:sz w:val="28"/>
    </w:rPr>
  </w:style>
  <w:style w:type="paragraph" w:styleId="17">
    <w:name w:val="Balloon Text"/>
    <w:basedOn w:val="1"/>
    <w:link w:val="71"/>
    <w:semiHidden/>
    <w:qFormat/>
    <w:uiPriority w:val="0"/>
    <w:rPr>
      <w:sz w:val="28"/>
      <w:szCs w:val="18"/>
    </w:rPr>
  </w:style>
  <w:style w:type="paragraph" w:styleId="18">
    <w:name w:val="Body Text 3"/>
    <w:basedOn w:val="1"/>
    <w:link w:val="145"/>
    <w:qFormat/>
    <w:uiPriority w:val="0"/>
    <w:pPr>
      <w:spacing w:after="120"/>
    </w:pPr>
    <w:rPr>
      <w:rFonts w:ascii="Calibri" w:hAnsi="Calibri"/>
      <w:sz w:val="16"/>
      <w:szCs w:val="16"/>
    </w:rPr>
  </w:style>
  <w:style w:type="paragraph" w:styleId="19">
    <w:name w:val="Body Text Indent"/>
    <w:basedOn w:val="1"/>
    <w:link w:val="80"/>
    <w:qFormat/>
    <w:uiPriority w:val="0"/>
    <w:pPr>
      <w:ind w:firstLine="570"/>
    </w:pPr>
    <w:rPr>
      <w:rFonts w:ascii="宋体" w:hAnsi="宋体"/>
      <w:sz w:val="24"/>
    </w:rPr>
  </w:style>
  <w:style w:type="paragraph" w:styleId="20">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1">
    <w:name w:val="toc 5"/>
    <w:basedOn w:val="1"/>
    <w:next w:val="1"/>
    <w:qFormat/>
    <w:uiPriority w:val="0"/>
    <w:pPr>
      <w:ind w:left="840"/>
      <w:jc w:val="left"/>
    </w:pPr>
    <w:rPr>
      <w:rFonts w:ascii="Calibri" w:hAnsi="Calibri" w:cs="Calibri"/>
      <w:sz w:val="18"/>
      <w:szCs w:val="18"/>
    </w:rPr>
  </w:style>
  <w:style w:type="paragraph" w:styleId="22">
    <w:name w:val="toc 3"/>
    <w:basedOn w:val="1"/>
    <w:next w:val="1"/>
    <w:qFormat/>
    <w:uiPriority w:val="39"/>
    <w:pPr>
      <w:ind w:left="840" w:leftChars="400"/>
    </w:pPr>
  </w:style>
  <w:style w:type="paragraph" w:styleId="23">
    <w:name w:val="Plain Text"/>
    <w:basedOn w:val="1"/>
    <w:link w:val="96"/>
    <w:qFormat/>
    <w:uiPriority w:val="0"/>
    <w:rPr>
      <w:rFonts w:ascii="宋体" w:hAnsi="Courier New" w:cstheme="minorBidi"/>
    </w:rPr>
  </w:style>
  <w:style w:type="paragraph" w:styleId="24">
    <w:name w:val="toc 8"/>
    <w:basedOn w:val="1"/>
    <w:next w:val="1"/>
    <w:qFormat/>
    <w:uiPriority w:val="0"/>
    <w:pPr>
      <w:ind w:left="1470"/>
      <w:jc w:val="left"/>
    </w:pPr>
    <w:rPr>
      <w:rFonts w:ascii="Calibri" w:hAnsi="Calibri" w:cs="Calibri"/>
      <w:sz w:val="18"/>
      <w:szCs w:val="18"/>
    </w:rPr>
  </w:style>
  <w:style w:type="paragraph" w:styleId="25">
    <w:name w:val="Date"/>
    <w:basedOn w:val="1"/>
    <w:next w:val="1"/>
    <w:link w:val="86"/>
    <w:qFormat/>
    <w:uiPriority w:val="0"/>
    <w:pPr>
      <w:ind w:left="100" w:leftChars="2500"/>
    </w:pPr>
    <w:rPr>
      <w:sz w:val="28"/>
    </w:rPr>
  </w:style>
  <w:style w:type="paragraph" w:styleId="26">
    <w:name w:val="Body Text Indent 2"/>
    <w:basedOn w:val="1"/>
    <w:link w:val="90"/>
    <w:qFormat/>
    <w:uiPriority w:val="0"/>
    <w:pPr>
      <w:spacing w:line="300" w:lineRule="auto"/>
      <w:ind w:firstLine="540" w:firstLineChars="225"/>
    </w:pPr>
    <w:rPr>
      <w:rFonts w:ascii="宋体" w:hAnsi="宋体"/>
      <w:color w:val="000000"/>
      <w:sz w:val="24"/>
    </w:rPr>
  </w:style>
  <w:style w:type="paragraph" w:styleId="27">
    <w:name w:val="footer"/>
    <w:basedOn w:val="1"/>
    <w:link w:val="57"/>
    <w:unhideWhenUsed/>
    <w:qFormat/>
    <w:uiPriority w:val="0"/>
    <w:pPr>
      <w:tabs>
        <w:tab w:val="center" w:pos="4153"/>
        <w:tab w:val="right" w:pos="8306"/>
      </w:tabs>
      <w:snapToGrid w:val="0"/>
      <w:jc w:val="left"/>
    </w:pPr>
    <w:rPr>
      <w:sz w:val="18"/>
      <w:szCs w:val="18"/>
    </w:rPr>
  </w:style>
  <w:style w:type="paragraph" w:styleId="28">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toc 4"/>
    <w:basedOn w:val="1"/>
    <w:next w:val="1"/>
    <w:qFormat/>
    <w:uiPriority w:val="0"/>
    <w:pPr>
      <w:ind w:left="630"/>
      <w:jc w:val="left"/>
    </w:pPr>
    <w:rPr>
      <w:rFonts w:ascii="Calibri" w:hAnsi="Calibri" w:cs="Calibri"/>
      <w:sz w:val="18"/>
      <w:szCs w:val="18"/>
    </w:rPr>
  </w:style>
  <w:style w:type="paragraph" w:styleId="31">
    <w:name w:val="index heading"/>
    <w:basedOn w:val="1"/>
    <w:next w:val="32"/>
    <w:semiHidden/>
    <w:qFormat/>
    <w:uiPriority w:val="0"/>
    <w:rPr>
      <w:szCs w:val="20"/>
    </w:rPr>
  </w:style>
  <w:style w:type="paragraph" w:styleId="32">
    <w:name w:val="index 1"/>
    <w:basedOn w:val="1"/>
    <w:next w:val="1"/>
    <w:semiHidden/>
    <w:qFormat/>
    <w:uiPriority w:val="0"/>
  </w:style>
  <w:style w:type="paragraph" w:styleId="33">
    <w:name w:val="Subtitle"/>
    <w:basedOn w:val="1"/>
    <w:next w:val="1"/>
    <w:link w:val="88"/>
    <w:qFormat/>
    <w:uiPriority w:val="0"/>
    <w:pPr>
      <w:spacing w:before="240" w:after="60" w:line="312" w:lineRule="auto"/>
      <w:jc w:val="center"/>
      <w:outlineLvl w:val="1"/>
    </w:pPr>
    <w:rPr>
      <w:rFonts w:ascii="Cambria" w:hAnsi="Cambria"/>
      <w:b/>
      <w:bCs/>
      <w:kern w:val="28"/>
      <w:sz w:val="32"/>
      <w:szCs w:val="32"/>
    </w:rPr>
  </w:style>
  <w:style w:type="paragraph" w:styleId="34">
    <w:name w:val="footnote text"/>
    <w:basedOn w:val="1"/>
    <w:link w:val="84"/>
    <w:qFormat/>
    <w:uiPriority w:val="0"/>
    <w:pPr>
      <w:snapToGrid w:val="0"/>
      <w:jc w:val="left"/>
    </w:pPr>
    <w:rPr>
      <w:sz w:val="18"/>
      <w:szCs w:val="18"/>
    </w:rPr>
  </w:style>
  <w:style w:type="paragraph" w:styleId="35">
    <w:name w:val="toc 6"/>
    <w:basedOn w:val="1"/>
    <w:next w:val="1"/>
    <w:qFormat/>
    <w:uiPriority w:val="0"/>
    <w:pPr>
      <w:ind w:left="1050"/>
      <w:jc w:val="left"/>
    </w:pPr>
    <w:rPr>
      <w:rFonts w:ascii="Calibri" w:hAnsi="Calibri" w:cs="Calibri"/>
      <w:sz w:val="18"/>
      <w:szCs w:val="18"/>
    </w:rPr>
  </w:style>
  <w:style w:type="paragraph" w:styleId="36">
    <w:name w:val="Body Text Indent 3"/>
    <w:basedOn w:val="1"/>
    <w:link w:val="74"/>
    <w:qFormat/>
    <w:uiPriority w:val="0"/>
    <w:pPr>
      <w:snapToGrid w:val="0"/>
      <w:spacing w:after="120" w:line="360" w:lineRule="auto"/>
      <w:ind w:firstLine="1365"/>
    </w:pPr>
    <w:rPr>
      <w:rFonts w:ascii="宋体"/>
      <w:sz w:val="28"/>
      <w:szCs w:val="20"/>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1680"/>
      <w:jc w:val="left"/>
    </w:pPr>
    <w:rPr>
      <w:rFonts w:ascii="Calibri" w:hAnsi="Calibri" w:cs="Calibri"/>
      <w:sz w:val="18"/>
      <w:szCs w:val="18"/>
    </w:rPr>
  </w:style>
  <w:style w:type="paragraph" w:styleId="39">
    <w:name w:val="HTML Preformatted"/>
    <w:basedOn w:val="1"/>
    <w:link w:val="15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0">
    <w:name w:val="Normal (Web)"/>
    <w:basedOn w:val="1"/>
    <w:qFormat/>
    <w:uiPriority w:val="0"/>
    <w:pPr>
      <w:widowControl/>
      <w:spacing w:before="100" w:beforeAutospacing="1" w:after="100" w:afterAutospacing="1"/>
      <w:jc w:val="left"/>
    </w:pPr>
    <w:rPr>
      <w:rFonts w:ascii="宋体" w:hAnsi="宋体"/>
      <w:kern w:val="0"/>
      <w:sz w:val="24"/>
    </w:rPr>
  </w:style>
  <w:style w:type="paragraph" w:styleId="41">
    <w:name w:val="annotation subject"/>
    <w:basedOn w:val="16"/>
    <w:next w:val="16"/>
    <w:link w:val="76"/>
    <w:semiHidden/>
    <w:qFormat/>
    <w:uiPriority w:val="0"/>
    <w:rPr>
      <w:rFonts w:eastAsia="宋体" w:cs="Times New Roman"/>
      <w:b/>
      <w:bCs/>
      <w:sz w:val="21"/>
    </w:rPr>
  </w:style>
  <w:style w:type="paragraph" w:styleId="42">
    <w:name w:val="Body Text First Indent"/>
    <w:basedOn w:val="2"/>
    <w:qFormat/>
    <w:uiPriority w:val="0"/>
    <w:pPr>
      <w:ind w:firstLine="420" w:firstLineChars="100"/>
    </w:p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00"/>
    </w:rPr>
  </w:style>
  <w:style w:type="character" w:styleId="50">
    <w:name w:val="Hyperlink"/>
    <w:qFormat/>
    <w:uiPriority w:val="99"/>
    <w:rPr>
      <w:color w:val="0000FF"/>
      <w:u w:val="single"/>
    </w:rPr>
  </w:style>
  <w:style w:type="character" w:styleId="51">
    <w:name w:val="annotation reference"/>
    <w:semiHidden/>
    <w:qFormat/>
    <w:uiPriority w:val="0"/>
    <w:rPr>
      <w:sz w:val="21"/>
      <w:szCs w:val="21"/>
    </w:rPr>
  </w:style>
  <w:style w:type="character" w:styleId="52">
    <w:name w:val="footnote reference"/>
    <w:qFormat/>
    <w:uiPriority w:val="0"/>
    <w:rPr>
      <w:vertAlign w:val="superscript"/>
    </w:rPr>
  </w:style>
  <w:style w:type="paragraph" w:customStyle="1" w:styleId="53">
    <w:name w:val="_Style 3"/>
    <w:basedOn w:val="1"/>
    <w:qFormat/>
    <w:uiPriority w:val="0"/>
    <w:pPr>
      <w:ind w:firstLine="420" w:firstLineChars="200"/>
    </w:pPr>
    <w:rPr>
      <w:sz w:val="20"/>
    </w:rPr>
  </w:style>
  <w:style w:type="character" w:customStyle="1" w:styleId="54">
    <w:name w:val="标题 1 Char"/>
    <w:basedOn w:val="45"/>
    <w:link w:val="3"/>
    <w:qFormat/>
    <w:uiPriority w:val="0"/>
    <w:rPr>
      <w:rFonts w:ascii="Arial" w:hAnsi="Arial" w:eastAsia="宋体" w:cs="Times New Roman"/>
      <w:b/>
      <w:bCs/>
      <w:kern w:val="44"/>
      <w:sz w:val="28"/>
      <w:szCs w:val="44"/>
    </w:rPr>
  </w:style>
  <w:style w:type="character" w:customStyle="1" w:styleId="55">
    <w:name w:val="标题 2 Char"/>
    <w:basedOn w:val="45"/>
    <w:link w:val="5"/>
    <w:qFormat/>
    <w:uiPriority w:val="0"/>
    <w:rPr>
      <w:rFonts w:ascii="Arial" w:hAnsi="Arial" w:eastAsia="宋体" w:cs="Times New Roman"/>
      <w:b/>
      <w:bCs/>
      <w:kern w:val="0"/>
      <w:sz w:val="24"/>
      <w:szCs w:val="32"/>
    </w:rPr>
  </w:style>
  <w:style w:type="character" w:customStyle="1" w:styleId="56">
    <w:name w:val="页眉 Char"/>
    <w:basedOn w:val="45"/>
    <w:link w:val="28"/>
    <w:qFormat/>
    <w:uiPriority w:val="0"/>
    <w:rPr>
      <w:sz w:val="18"/>
      <w:szCs w:val="18"/>
    </w:rPr>
  </w:style>
  <w:style w:type="character" w:customStyle="1" w:styleId="57">
    <w:name w:val="页脚 Char"/>
    <w:basedOn w:val="45"/>
    <w:link w:val="27"/>
    <w:qFormat/>
    <w:uiPriority w:val="0"/>
    <w:rPr>
      <w:sz w:val="18"/>
      <w:szCs w:val="18"/>
    </w:rPr>
  </w:style>
  <w:style w:type="character" w:customStyle="1" w:styleId="58">
    <w:name w:val="标题 3 Char"/>
    <w:basedOn w:val="45"/>
    <w:link w:val="6"/>
    <w:qFormat/>
    <w:uiPriority w:val="0"/>
    <w:rPr>
      <w:rFonts w:ascii="Times New Roman" w:hAnsi="Times New Roman" w:eastAsia="宋体" w:cs="Times New Roman"/>
      <w:b/>
      <w:bCs/>
      <w:kern w:val="0"/>
      <w:sz w:val="24"/>
      <w:szCs w:val="32"/>
    </w:rPr>
  </w:style>
  <w:style w:type="character" w:customStyle="1" w:styleId="59">
    <w:name w:val="标题 4 Char"/>
    <w:basedOn w:val="45"/>
    <w:link w:val="7"/>
    <w:qFormat/>
    <w:uiPriority w:val="9"/>
    <w:rPr>
      <w:rFonts w:ascii="Cambria" w:hAnsi="Cambria" w:eastAsia="宋体" w:cs="Times New Roman"/>
      <w:b/>
      <w:bCs/>
      <w:kern w:val="0"/>
      <w:sz w:val="28"/>
      <w:szCs w:val="28"/>
    </w:rPr>
  </w:style>
  <w:style w:type="character" w:customStyle="1" w:styleId="60">
    <w:name w:val="标题 5 Char"/>
    <w:basedOn w:val="45"/>
    <w:link w:val="8"/>
    <w:qFormat/>
    <w:uiPriority w:val="0"/>
    <w:rPr>
      <w:rFonts w:ascii="Calibri" w:hAnsi="Calibri" w:eastAsia="宋体" w:cs="Times New Roman"/>
      <w:b/>
      <w:bCs/>
      <w:kern w:val="0"/>
      <w:sz w:val="28"/>
      <w:szCs w:val="28"/>
    </w:rPr>
  </w:style>
  <w:style w:type="character" w:customStyle="1" w:styleId="61">
    <w:name w:val="标题 6 Char"/>
    <w:basedOn w:val="45"/>
    <w:link w:val="9"/>
    <w:qFormat/>
    <w:uiPriority w:val="0"/>
    <w:rPr>
      <w:rFonts w:ascii="Arial" w:hAnsi="Arial" w:eastAsia="黑体" w:cs="Times New Roman"/>
      <w:b/>
      <w:bCs/>
      <w:kern w:val="0"/>
      <w:sz w:val="24"/>
      <w:szCs w:val="24"/>
    </w:rPr>
  </w:style>
  <w:style w:type="character" w:customStyle="1" w:styleId="62">
    <w:name w:val="标题 7 Char"/>
    <w:basedOn w:val="45"/>
    <w:link w:val="10"/>
    <w:qFormat/>
    <w:uiPriority w:val="0"/>
    <w:rPr>
      <w:rFonts w:ascii="Calibri" w:hAnsi="Calibri" w:eastAsia="宋体" w:cs="Times New Roman"/>
      <w:b/>
      <w:bCs/>
      <w:kern w:val="0"/>
      <w:sz w:val="24"/>
      <w:szCs w:val="24"/>
    </w:rPr>
  </w:style>
  <w:style w:type="character" w:customStyle="1" w:styleId="63">
    <w:name w:val="标题 8 Char"/>
    <w:basedOn w:val="45"/>
    <w:link w:val="11"/>
    <w:qFormat/>
    <w:uiPriority w:val="0"/>
    <w:rPr>
      <w:rFonts w:ascii="Arial" w:hAnsi="Arial" w:eastAsia="黑体" w:cs="Times New Roman"/>
      <w:kern w:val="0"/>
      <w:sz w:val="24"/>
      <w:szCs w:val="24"/>
    </w:rPr>
  </w:style>
  <w:style w:type="character" w:customStyle="1" w:styleId="64">
    <w:name w:val="标题 9 Char"/>
    <w:basedOn w:val="45"/>
    <w:link w:val="12"/>
    <w:qFormat/>
    <w:uiPriority w:val="0"/>
    <w:rPr>
      <w:rFonts w:ascii="Arial" w:hAnsi="Arial" w:eastAsia="黑体" w:cs="Times New Roman"/>
      <w:kern w:val="0"/>
      <w:szCs w:val="21"/>
    </w:rPr>
  </w:style>
  <w:style w:type="character" w:customStyle="1" w:styleId="65">
    <w:name w:val="页眉 Char1"/>
    <w:semiHidden/>
    <w:qFormat/>
    <w:uiPriority w:val="99"/>
    <w:rPr>
      <w:rFonts w:ascii="Times New Roman" w:hAnsi="Times New Roman" w:eastAsia="宋体" w:cs="Times New Roman"/>
      <w:sz w:val="18"/>
      <w:szCs w:val="18"/>
    </w:rPr>
  </w:style>
  <w:style w:type="character" w:customStyle="1" w:styleId="66">
    <w:name w:val="页眉1 Char"/>
    <w:link w:val="67"/>
    <w:qFormat/>
    <w:uiPriority w:val="0"/>
    <w:rPr>
      <w:sz w:val="18"/>
      <w:szCs w:val="18"/>
    </w:rPr>
  </w:style>
  <w:style w:type="paragraph" w:customStyle="1" w:styleId="67">
    <w:name w:val="页眉1"/>
    <w:basedOn w:val="28"/>
    <w:link w:val="66"/>
    <w:qFormat/>
    <w:uiPriority w:val="0"/>
    <w:pPr>
      <w:pBdr>
        <w:bottom w:val="none" w:color="auto" w:sz="0" w:space="0"/>
      </w:pBdr>
      <w:jc w:val="both"/>
    </w:pPr>
  </w:style>
  <w:style w:type="character" w:customStyle="1" w:styleId="68">
    <w:name w:val="unnamed1"/>
    <w:basedOn w:val="45"/>
    <w:qFormat/>
    <w:uiPriority w:val="0"/>
  </w:style>
  <w:style w:type="character" w:customStyle="1" w:styleId="69">
    <w:name w:val="批注文字 Char"/>
    <w:qFormat/>
    <w:uiPriority w:val="0"/>
    <w:rPr>
      <w:rFonts w:ascii="Times New Roman" w:hAnsi="Times New Roman"/>
      <w:sz w:val="28"/>
      <w:szCs w:val="24"/>
    </w:rPr>
  </w:style>
  <w:style w:type="character" w:customStyle="1" w:styleId="70">
    <w:name w:val="批注文字 Char1"/>
    <w:basedOn w:val="45"/>
    <w:link w:val="16"/>
    <w:semiHidden/>
    <w:qFormat/>
    <w:uiPriority w:val="99"/>
    <w:rPr>
      <w:rFonts w:ascii="Times New Roman" w:hAnsi="Times New Roman" w:eastAsia="宋体" w:cs="Times New Roman"/>
      <w:szCs w:val="24"/>
    </w:rPr>
  </w:style>
  <w:style w:type="character" w:customStyle="1" w:styleId="71">
    <w:name w:val="批注框文本 Char"/>
    <w:basedOn w:val="45"/>
    <w:link w:val="17"/>
    <w:semiHidden/>
    <w:qFormat/>
    <w:uiPriority w:val="0"/>
    <w:rPr>
      <w:rFonts w:ascii="Times New Roman" w:hAnsi="Times New Roman" w:eastAsia="宋体" w:cs="Times New Roman"/>
      <w:sz w:val="28"/>
      <w:szCs w:val="18"/>
    </w:rPr>
  </w:style>
  <w:style w:type="character" w:customStyle="1" w:styleId="72">
    <w:name w:val="apple-converted-space"/>
    <w:qFormat/>
    <w:uiPriority w:val="99"/>
    <w:rPr>
      <w:rFonts w:cs="Times New Roman"/>
    </w:rPr>
  </w:style>
  <w:style w:type="character" w:customStyle="1" w:styleId="73">
    <w:name w:val="正文文本缩进 3 Char"/>
    <w:qFormat/>
    <w:uiPriority w:val="0"/>
    <w:rPr>
      <w:rFonts w:ascii="宋体" w:hAnsi="Times New Roman" w:eastAsia="宋体" w:cs="Times New Roman"/>
      <w:sz w:val="28"/>
      <w:szCs w:val="20"/>
    </w:rPr>
  </w:style>
  <w:style w:type="character" w:customStyle="1" w:styleId="74">
    <w:name w:val="正文文本缩进 3 Char1"/>
    <w:basedOn w:val="45"/>
    <w:link w:val="36"/>
    <w:semiHidden/>
    <w:qFormat/>
    <w:uiPriority w:val="99"/>
    <w:rPr>
      <w:rFonts w:ascii="Times New Roman" w:hAnsi="Times New Roman" w:eastAsia="宋体" w:cs="Times New Roman"/>
      <w:sz w:val="16"/>
      <w:szCs w:val="16"/>
    </w:rPr>
  </w:style>
  <w:style w:type="character" w:customStyle="1" w:styleId="75">
    <w:name w:val="批注主题 Char"/>
    <w:semiHidden/>
    <w:qFormat/>
    <w:uiPriority w:val="0"/>
    <w:rPr>
      <w:rFonts w:ascii="Times New Roman" w:hAnsi="Times New Roman" w:eastAsia="宋体" w:cs="Times New Roman"/>
      <w:b/>
      <w:bCs/>
      <w:szCs w:val="24"/>
    </w:rPr>
  </w:style>
  <w:style w:type="character" w:customStyle="1" w:styleId="76">
    <w:name w:val="批注主题 Char1"/>
    <w:basedOn w:val="70"/>
    <w:link w:val="41"/>
    <w:semiHidden/>
    <w:qFormat/>
    <w:uiPriority w:val="99"/>
    <w:rPr>
      <w:rFonts w:ascii="Times New Roman" w:hAnsi="Times New Roman" w:eastAsia="宋体" w:cs="Times New Roman"/>
      <w:b/>
      <w:bCs/>
      <w:szCs w:val="24"/>
    </w:rPr>
  </w:style>
  <w:style w:type="character" w:customStyle="1" w:styleId="77">
    <w:name w:val="h2"/>
    <w:qFormat/>
    <w:uiPriority w:val="0"/>
    <w:rPr>
      <w:color w:val="000000"/>
      <w:sz w:val="24"/>
      <w:szCs w:val="24"/>
    </w:rPr>
  </w:style>
  <w:style w:type="character" w:customStyle="1" w:styleId="78">
    <w:name w:val="font61"/>
    <w:qFormat/>
    <w:uiPriority w:val="0"/>
    <w:rPr>
      <w:rFonts w:hint="eastAsia" w:ascii="宋体" w:hAnsi="宋体" w:eastAsia="宋体" w:cs="宋体"/>
      <w:color w:val="000000"/>
      <w:sz w:val="20"/>
      <w:szCs w:val="20"/>
      <w:u w:val="none"/>
    </w:rPr>
  </w:style>
  <w:style w:type="character" w:customStyle="1" w:styleId="79">
    <w:name w:val="正文文本缩进 Char"/>
    <w:qFormat/>
    <w:uiPriority w:val="0"/>
    <w:rPr>
      <w:rFonts w:ascii="宋体" w:hAnsi="宋体" w:eastAsia="宋体" w:cs="Times New Roman"/>
      <w:sz w:val="24"/>
      <w:szCs w:val="24"/>
    </w:rPr>
  </w:style>
  <w:style w:type="character" w:customStyle="1" w:styleId="80">
    <w:name w:val="正文文本缩进 Char1"/>
    <w:basedOn w:val="45"/>
    <w:link w:val="19"/>
    <w:semiHidden/>
    <w:qFormat/>
    <w:uiPriority w:val="99"/>
    <w:rPr>
      <w:rFonts w:ascii="Times New Roman" w:hAnsi="Times New Roman" w:eastAsia="宋体" w:cs="Times New Roman"/>
      <w:szCs w:val="24"/>
    </w:rPr>
  </w:style>
  <w:style w:type="character" w:customStyle="1" w:styleId="81">
    <w:name w:val="正文缩进 Char"/>
    <w:link w:val="14"/>
    <w:qFormat/>
    <w:uiPriority w:val="0"/>
    <w:rPr>
      <w:rFonts w:eastAsia="宋体"/>
    </w:rPr>
  </w:style>
  <w:style w:type="character" w:customStyle="1" w:styleId="82">
    <w:name w:val="纯文本 Char1"/>
    <w:semiHidden/>
    <w:qFormat/>
    <w:uiPriority w:val="99"/>
    <w:rPr>
      <w:rFonts w:ascii="宋体" w:hAnsi="Courier New" w:eastAsia="宋体" w:cs="Courier New"/>
      <w:szCs w:val="21"/>
    </w:rPr>
  </w:style>
  <w:style w:type="character" w:customStyle="1" w:styleId="83">
    <w:name w:val="脚注文本 Char"/>
    <w:qFormat/>
    <w:uiPriority w:val="0"/>
    <w:rPr>
      <w:rFonts w:ascii="Times New Roman" w:hAnsi="Times New Roman" w:eastAsia="宋体" w:cs="Times New Roman"/>
      <w:sz w:val="18"/>
      <w:szCs w:val="18"/>
    </w:rPr>
  </w:style>
  <w:style w:type="character" w:customStyle="1" w:styleId="84">
    <w:name w:val="脚注文本 Char1"/>
    <w:basedOn w:val="45"/>
    <w:link w:val="34"/>
    <w:semiHidden/>
    <w:qFormat/>
    <w:uiPriority w:val="99"/>
    <w:rPr>
      <w:rFonts w:ascii="Times New Roman" w:hAnsi="Times New Roman" w:eastAsia="宋体" w:cs="Times New Roman"/>
      <w:sz w:val="18"/>
      <w:szCs w:val="18"/>
    </w:rPr>
  </w:style>
  <w:style w:type="character" w:customStyle="1" w:styleId="85">
    <w:name w:val="日期 Char"/>
    <w:qFormat/>
    <w:uiPriority w:val="0"/>
    <w:rPr>
      <w:rFonts w:ascii="Times New Roman" w:hAnsi="Times New Roman" w:eastAsia="宋体" w:cs="Times New Roman"/>
      <w:sz w:val="28"/>
      <w:szCs w:val="24"/>
    </w:rPr>
  </w:style>
  <w:style w:type="character" w:customStyle="1" w:styleId="86">
    <w:name w:val="日期 Char1"/>
    <w:basedOn w:val="45"/>
    <w:link w:val="25"/>
    <w:semiHidden/>
    <w:qFormat/>
    <w:uiPriority w:val="99"/>
    <w:rPr>
      <w:rFonts w:ascii="Times New Roman" w:hAnsi="Times New Roman" w:eastAsia="宋体" w:cs="Times New Roman"/>
      <w:szCs w:val="24"/>
    </w:rPr>
  </w:style>
  <w:style w:type="character" w:customStyle="1" w:styleId="87">
    <w:name w:val="副标题 Char"/>
    <w:qFormat/>
    <w:uiPriority w:val="0"/>
    <w:rPr>
      <w:rFonts w:ascii="Cambria" w:hAnsi="Cambria" w:eastAsia="宋体" w:cs="Times New Roman"/>
      <w:b/>
      <w:bCs/>
      <w:kern w:val="28"/>
      <w:sz w:val="32"/>
      <w:szCs w:val="32"/>
    </w:rPr>
  </w:style>
  <w:style w:type="character" w:customStyle="1" w:styleId="88">
    <w:name w:val="副标题 Char1"/>
    <w:basedOn w:val="45"/>
    <w:link w:val="33"/>
    <w:qFormat/>
    <w:uiPriority w:val="11"/>
    <w:rPr>
      <w:rFonts w:eastAsia="宋体" w:asciiTheme="majorHAnsi" w:hAnsiTheme="majorHAnsi" w:cstheme="majorBidi"/>
      <w:b/>
      <w:bCs/>
      <w:kern w:val="28"/>
      <w:sz w:val="32"/>
      <w:szCs w:val="32"/>
    </w:rPr>
  </w:style>
  <w:style w:type="character" w:customStyle="1" w:styleId="89">
    <w:name w:val="正文文本缩进 2 Char"/>
    <w:qFormat/>
    <w:uiPriority w:val="0"/>
    <w:rPr>
      <w:rFonts w:ascii="宋体" w:hAnsi="宋体" w:eastAsia="宋体" w:cs="Times New Roman"/>
      <w:color w:val="000000"/>
      <w:sz w:val="24"/>
      <w:szCs w:val="24"/>
    </w:rPr>
  </w:style>
  <w:style w:type="character" w:customStyle="1" w:styleId="90">
    <w:name w:val="正文文本缩进 2 Char1"/>
    <w:basedOn w:val="45"/>
    <w:link w:val="26"/>
    <w:semiHidden/>
    <w:qFormat/>
    <w:uiPriority w:val="99"/>
    <w:rPr>
      <w:rFonts w:ascii="Times New Roman" w:hAnsi="Times New Roman" w:eastAsia="宋体" w:cs="Times New Roman"/>
      <w:szCs w:val="24"/>
    </w:rPr>
  </w:style>
  <w:style w:type="character" w:customStyle="1" w:styleId="91">
    <w:name w:val="文档结构图 Char"/>
    <w:semiHidden/>
    <w:qFormat/>
    <w:uiPriority w:val="0"/>
    <w:rPr>
      <w:rFonts w:ascii="Times New Roman" w:hAnsi="Times New Roman" w:eastAsia="宋体" w:cs="Times New Roman"/>
      <w:szCs w:val="24"/>
      <w:shd w:val="clear" w:color="auto" w:fill="000080"/>
    </w:rPr>
  </w:style>
  <w:style w:type="character" w:customStyle="1" w:styleId="92">
    <w:name w:val="文档结构图 Char1"/>
    <w:basedOn w:val="45"/>
    <w:link w:val="15"/>
    <w:semiHidden/>
    <w:qFormat/>
    <w:uiPriority w:val="99"/>
    <w:rPr>
      <w:rFonts w:ascii="宋体" w:hAnsi="Times New Roman" w:eastAsia="宋体" w:cs="Times New Roman"/>
      <w:sz w:val="18"/>
      <w:szCs w:val="18"/>
    </w:rPr>
  </w:style>
  <w:style w:type="character" w:customStyle="1" w:styleId="93">
    <w:name w:val="列出段落 Char"/>
    <w:link w:val="94"/>
    <w:qFormat/>
    <w:locked/>
    <w:uiPriority w:val="99"/>
    <w:rPr>
      <w:rFonts w:ascii="Times New Roman" w:hAnsi="Times New Roman"/>
      <w:szCs w:val="24"/>
    </w:rPr>
  </w:style>
  <w:style w:type="paragraph" w:styleId="94">
    <w:name w:val="List Paragraph"/>
    <w:basedOn w:val="1"/>
    <w:link w:val="93"/>
    <w:qFormat/>
    <w:uiPriority w:val="99"/>
    <w:pPr>
      <w:ind w:firstLine="420" w:firstLineChars="200"/>
    </w:pPr>
    <w:rPr>
      <w:rFonts w:eastAsiaTheme="minorEastAsia" w:cstheme="minorBidi"/>
    </w:rPr>
  </w:style>
  <w:style w:type="character" w:customStyle="1" w:styleId="95">
    <w:name w:val="纯文本 Char"/>
    <w:qFormat/>
    <w:uiPriority w:val="0"/>
    <w:rPr>
      <w:rFonts w:ascii="宋体" w:hAnsi="Courier New" w:eastAsia="宋体"/>
      <w:szCs w:val="24"/>
    </w:rPr>
  </w:style>
  <w:style w:type="character" w:customStyle="1" w:styleId="96">
    <w:name w:val="纯文本 Char2"/>
    <w:basedOn w:val="45"/>
    <w:link w:val="23"/>
    <w:semiHidden/>
    <w:qFormat/>
    <w:uiPriority w:val="99"/>
    <w:rPr>
      <w:rFonts w:ascii="宋体" w:hAnsi="Courier New" w:eastAsia="宋体" w:cs="Courier New"/>
      <w:szCs w:val="21"/>
    </w:rPr>
  </w:style>
  <w:style w:type="character" w:customStyle="1" w:styleId="97">
    <w:name w:val="font101"/>
    <w:qFormat/>
    <w:uiPriority w:val="0"/>
    <w:rPr>
      <w:rFonts w:hint="eastAsia" w:ascii="黑体" w:hAnsi="宋体" w:eastAsia="黑体" w:cs="黑体"/>
      <w:color w:val="000000"/>
      <w:sz w:val="20"/>
      <w:szCs w:val="20"/>
      <w:u w:val="none"/>
    </w:rPr>
  </w:style>
  <w:style w:type="paragraph" w:customStyle="1" w:styleId="98">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00">
    <w:name w:val="1"/>
    <w:basedOn w:val="1"/>
    <w:qFormat/>
    <w:uiPriority w:val="0"/>
    <w:pPr>
      <w:widowControl/>
      <w:spacing w:after="160" w:line="240" w:lineRule="exact"/>
      <w:jc w:val="left"/>
    </w:pPr>
    <w:rPr>
      <w:rFonts w:ascii="Verdana" w:hAnsi="Verdana"/>
      <w:kern w:val="0"/>
      <w:szCs w:val="20"/>
      <w:lang w:eastAsia="en-US"/>
    </w:rPr>
  </w:style>
  <w:style w:type="paragraph" w:customStyle="1" w:styleId="101">
    <w:name w:val="_Style 1"/>
    <w:basedOn w:val="1"/>
    <w:qFormat/>
    <w:uiPriority w:val="99"/>
    <w:pPr>
      <w:ind w:firstLine="420" w:firstLineChars="200"/>
    </w:pPr>
  </w:style>
  <w:style w:type="paragraph" w:customStyle="1" w:styleId="10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Char"/>
    <w:basedOn w:val="1"/>
    <w:qFormat/>
    <w:uiPriority w:val="0"/>
    <w:pPr>
      <w:tabs>
        <w:tab w:val="left" w:pos="0"/>
      </w:tabs>
      <w:ind w:left="964" w:hanging="964"/>
    </w:pPr>
    <w:rPr>
      <w:sz w:val="24"/>
    </w:rPr>
  </w:style>
  <w:style w:type="paragraph" w:customStyle="1" w:styleId="104">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05">
    <w:name w:val="Char Char Char Char"/>
    <w:basedOn w:val="1"/>
    <w:qFormat/>
    <w:uiPriority w:val="0"/>
    <w:rPr>
      <w:szCs w:val="20"/>
    </w:rPr>
  </w:style>
  <w:style w:type="paragraph" w:customStyle="1" w:styleId="1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7">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108">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9">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10">
    <w:name w:val="样式2"/>
    <w:basedOn w:val="1"/>
    <w:qFormat/>
    <w:uiPriority w:val="0"/>
    <w:rPr>
      <w:b/>
      <w:sz w:val="24"/>
    </w:rPr>
  </w:style>
  <w:style w:type="paragraph" w:customStyle="1" w:styleId="11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 Char"/>
    <w:basedOn w:val="1"/>
    <w:qFormat/>
    <w:uiPriority w:val="0"/>
    <w:rPr>
      <w:rFonts w:ascii="宋体" w:hAnsi="宋体"/>
      <w:b/>
      <w:sz w:val="28"/>
      <w:szCs w:val="28"/>
    </w:rPr>
  </w:style>
  <w:style w:type="paragraph" w:customStyle="1" w:styleId="114">
    <w:name w:val="列出段落1"/>
    <w:basedOn w:val="1"/>
    <w:qFormat/>
    <w:uiPriority w:val="0"/>
    <w:pPr>
      <w:ind w:firstLine="420" w:firstLineChars="200"/>
    </w:pPr>
    <w:rPr>
      <w:rFonts w:ascii="Calibri" w:hAnsi="Calibri"/>
      <w:szCs w:val="21"/>
    </w:rPr>
  </w:style>
  <w:style w:type="paragraph" w:customStyle="1" w:styleId="115">
    <w:name w:val="Char1 Char Char Char"/>
    <w:basedOn w:val="1"/>
    <w:qFormat/>
    <w:uiPriority w:val="0"/>
    <w:pPr>
      <w:ind w:left="420" w:hanging="420"/>
    </w:pPr>
    <w:rPr>
      <w:sz w:val="24"/>
    </w:rPr>
  </w:style>
  <w:style w:type="paragraph" w:customStyle="1" w:styleId="116">
    <w:name w:val="无间隔1"/>
    <w:link w:val="117"/>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7">
    <w:name w:val="No Spacing Char"/>
    <w:basedOn w:val="45"/>
    <w:link w:val="116"/>
    <w:qFormat/>
    <w:locked/>
    <w:uiPriority w:val="0"/>
    <w:rPr>
      <w:rFonts w:ascii="Times New Roman" w:hAnsi="Times New Roman" w:eastAsia="宋体" w:cs="Times New Roman"/>
      <w:szCs w:val="21"/>
    </w:rPr>
  </w:style>
  <w:style w:type="paragraph" w:customStyle="1" w:styleId="118">
    <w:name w:val="p0"/>
    <w:basedOn w:val="1"/>
    <w:qFormat/>
    <w:uiPriority w:val="0"/>
    <w:pPr>
      <w:widowControl/>
    </w:pPr>
    <w:rPr>
      <w:rFonts w:ascii="Calibri" w:hAnsi="Calibri"/>
      <w:kern w:val="0"/>
      <w:szCs w:val="21"/>
    </w:rPr>
  </w:style>
  <w:style w:type="character" w:customStyle="1" w:styleId="119">
    <w:name w:val="Char Char22"/>
    <w:qFormat/>
    <w:uiPriority w:val="0"/>
    <w:rPr>
      <w:rFonts w:ascii="Times New Roman" w:hAnsi="Times New Roman"/>
      <w:b/>
      <w:bCs/>
      <w:sz w:val="24"/>
      <w:szCs w:val="24"/>
    </w:rPr>
  </w:style>
  <w:style w:type="character" w:customStyle="1" w:styleId="120">
    <w:name w:val="Char Char21"/>
    <w:qFormat/>
    <w:uiPriority w:val="0"/>
    <w:rPr>
      <w:rFonts w:ascii="Arial" w:hAnsi="Arial" w:eastAsia="黑体"/>
      <w:b/>
      <w:bCs/>
      <w:kern w:val="2"/>
      <w:sz w:val="32"/>
      <w:szCs w:val="32"/>
    </w:rPr>
  </w:style>
  <w:style w:type="character" w:customStyle="1" w:styleId="121">
    <w:name w:val="Char Char20"/>
    <w:qFormat/>
    <w:uiPriority w:val="0"/>
    <w:rPr>
      <w:rFonts w:ascii="楷体_GB2312" w:hAnsi="宋体" w:eastAsia="楷体_GB2312"/>
      <w:b/>
      <w:bCs/>
      <w:kern w:val="2"/>
      <w:sz w:val="32"/>
      <w:szCs w:val="24"/>
    </w:rPr>
  </w:style>
  <w:style w:type="character" w:customStyle="1" w:styleId="122">
    <w:name w:val="Char Char19"/>
    <w:qFormat/>
    <w:uiPriority w:val="0"/>
    <w:rPr>
      <w:rFonts w:ascii="Arial" w:hAnsi="Arial" w:eastAsia="黑体"/>
      <w:b/>
      <w:bCs/>
      <w:sz w:val="28"/>
      <w:szCs w:val="28"/>
    </w:rPr>
  </w:style>
  <w:style w:type="character" w:customStyle="1" w:styleId="123">
    <w:name w:val="Char Char13"/>
    <w:qFormat/>
    <w:uiPriority w:val="0"/>
    <w:rPr>
      <w:rFonts w:ascii="Times New Roman" w:hAnsi="Times New Roman"/>
      <w:kern w:val="2"/>
      <w:sz w:val="18"/>
      <w:szCs w:val="18"/>
    </w:rPr>
  </w:style>
  <w:style w:type="character" w:customStyle="1" w:styleId="124">
    <w:name w:val="Char Char12"/>
    <w:qFormat/>
    <w:uiPriority w:val="0"/>
    <w:rPr>
      <w:rFonts w:ascii="Times New Roman" w:hAnsi="Times New Roman"/>
      <w:kern w:val="2"/>
      <w:sz w:val="18"/>
      <w:szCs w:val="18"/>
    </w:rPr>
  </w:style>
  <w:style w:type="character" w:customStyle="1" w:styleId="125">
    <w:name w:val="f141"/>
    <w:qFormat/>
    <w:uiPriority w:val="0"/>
    <w:rPr>
      <w:sz w:val="21"/>
      <w:szCs w:val="21"/>
    </w:rPr>
  </w:style>
  <w:style w:type="character" w:customStyle="1" w:styleId="126">
    <w:name w:val="p141"/>
    <w:qFormat/>
    <w:uiPriority w:val="0"/>
    <w:rPr>
      <w:sz w:val="21"/>
      <w:szCs w:val="21"/>
    </w:rPr>
  </w:style>
  <w:style w:type="character" w:customStyle="1" w:styleId="127">
    <w:name w:val="Char Char2"/>
    <w:qFormat/>
    <w:locked/>
    <w:uiPriority w:val="0"/>
    <w:rPr>
      <w:sz w:val="18"/>
    </w:rPr>
  </w:style>
  <w:style w:type="character" w:customStyle="1" w:styleId="128">
    <w:name w:val="s10pv000000"/>
    <w:qFormat/>
    <w:uiPriority w:val="0"/>
  </w:style>
  <w:style w:type="character" w:customStyle="1" w:styleId="129">
    <w:name w:val="普通文字 Char Char1"/>
    <w:qFormat/>
    <w:uiPriority w:val="0"/>
    <w:rPr>
      <w:rFonts w:ascii="宋体" w:hAnsi="Courier New" w:cs="Courier New"/>
      <w:szCs w:val="21"/>
    </w:rPr>
  </w:style>
  <w:style w:type="character" w:customStyle="1" w:styleId="130">
    <w:name w:val="Char Char11"/>
    <w:qFormat/>
    <w:uiPriority w:val="0"/>
    <w:rPr>
      <w:szCs w:val="24"/>
    </w:rPr>
  </w:style>
  <w:style w:type="paragraph" w:customStyle="1" w:styleId="131">
    <w:name w:val="样式 标题 4 + 段前: 5 磅 段后: 5 磅 行距: 单倍行距"/>
    <w:basedOn w:val="7"/>
    <w:qFormat/>
    <w:uiPriority w:val="0"/>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32">
    <w:name w:val="基准标题"/>
    <w:basedOn w:val="2"/>
    <w:next w:val="2"/>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133">
    <w:name w:val="正文文本 Char"/>
    <w:basedOn w:val="45"/>
    <w:link w:val="2"/>
    <w:qFormat/>
    <w:uiPriority w:val="0"/>
    <w:rPr>
      <w:rFonts w:ascii="Calibri" w:hAnsi="Calibri" w:eastAsia="宋体" w:cs="Times New Roman"/>
      <w:szCs w:val="24"/>
    </w:rPr>
  </w:style>
  <w:style w:type="paragraph" w:customStyle="1" w:styleId="134">
    <w:name w:val="表格"/>
    <w:basedOn w:val="1"/>
    <w:qFormat/>
    <w:uiPriority w:val="0"/>
    <w:pPr>
      <w:spacing w:line="420" w:lineRule="exact"/>
      <w:ind w:left="84" w:leftChars="40"/>
      <w:jc w:val="center"/>
    </w:pPr>
    <w:rPr>
      <w:rFonts w:ascii="宋体" w:hAnsi="宋体"/>
      <w:bCs/>
      <w:spacing w:val="-12"/>
    </w:rPr>
  </w:style>
  <w:style w:type="paragraph" w:customStyle="1" w:styleId="135">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6">
    <w:name w:val="样式4"/>
    <w:basedOn w:val="1"/>
    <w:qFormat/>
    <w:uiPriority w:val="0"/>
    <w:pPr>
      <w:tabs>
        <w:tab w:val="left" w:pos="2328"/>
      </w:tabs>
      <w:ind w:left="2328" w:hanging="708"/>
    </w:pPr>
  </w:style>
  <w:style w:type="paragraph" w:customStyle="1" w:styleId="13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8">
    <w:name w:val="3 Char"/>
    <w:basedOn w:val="1"/>
    <w:qFormat/>
    <w:uiPriority w:val="0"/>
    <w:pPr>
      <w:widowControl/>
      <w:spacing w:line="400" w:lineRule="exact"/>
      <w:jc w:val="center"/>
    </w:pPr>
    <w:rPr>
      <w:rFonts w:ascii="Verdana" w:hAnsi="Verdana"/>
      <w:kern w:val="0"/>
      <w:szCs w:val="20"/>
      <w:lang w:eastAsia="en-US"/>
    </w:rPr>
  </w:style>
  <w:style w:type="paragraph" w:customStyle="1" w:styleId="139">
    <w:name w:val="样式 标题 2 + 宋体 五号 非加粗 黑色"/>
    <w:basedOn w:val="5"/>
    <w:qFormat/>
    <w:uiPriority w:val="0"/>
    <w:pPr>
      <w:tabs>
        <w:tab w:val="left" w:pos="840"/>
      </w:tabs>
      <w:adjustRightInd w:val="0"/>
      <w:spacing w:line="416" w:lineRule="atLeast"/>
      <w:ind w:left="840" w:hanging="420"/>
      <w:textAlignment w:val="baseline"/>
    </w:pPr>
    <w:rPr>
      <w:rFonts w:ascii="宋体" w:hAnsi="宋体"/>
      <w:b w:val="0"/>
      <w:bCs w:val="0"/>
      <w:color w:val="000000"/>
      <w:sz w:val="21"/>
      <w:szCs w:val="20"/>
    </w:rPr>
  </w:style>
  <w:style w:type="paragraph" w:customStyle="1" w:styleId="140">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41">
    <w:name w:val="Char Char10"/>
    <w:qFormat/>
    <w:uiPriority w:val="0"/>
    <w:rPr>
      <w:rFonts w:ascii="Times New Roman" w:hAnsi="Times New Roman"/>
      <w:kern w:val="2"/>
      <w:sz w:val="24"/>
      <w:szCs w:val="24"/>
    </w:rPr>
  </w:style>
  <w:style w:type="paragraph" w:customStyle="1" w:styleId="142">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4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4">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145">
    <w:name w:val="正文文本 3 Char"/>
    <w:basedOn w:val="45"/>
    <w:link w:val="18"/>
    <w:qFormat/>
    <w:uiPriority w:val="0"/>
    <w:rPr>
      <w:rFonts w:ascii="Calibri" w:hAnsi="Calibri" w:eastAsia="宋体" w:cs="Times New Roman"/>
      <w:sz w:val="16"/>
      <w:szCs w:val="16"/>
    </w:rPr>
  </w:style>
  <w:style w:type="paragraph" w:customStyle="1" w:styleId="146">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7">
    <w:name w:val="默认段落字体 Para Char Char Char Char"/>
    <w:basedOn w:val="1"/>
    <w:qFormat/>
    <w:uiPriority w:val="0"/>
    <w:rPr>
      <w:szCs w:val="20"/>
    </w:rPr>
  </w:style>
  <w:style w:type="paragraph" w:customStyle="1" w:styleId="148">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9">
    <w:name w:val="Char Char6"/>
    <w:qFormat/>
    <w:uiPriority w:val="0"/>
    <w:rPr>
      <w:rFonts w:ascii="Times New Roman" w:hAnsi="Times New Roman"/>
      <w:kern w:val="2"/>
      <w:sz w:val="21"/>
      <w:shd w:val="clear" w:color="auto" w:fill="000080"/>
    </w:rPr>
  </w:style>
  <w:style w:type="paragraph" w:customStyle="1" w:styleId="150">
    <w:name w:val="Char Char Char Char Char Char Char"/>
    <w:basedOn w:val="1"/>
    <w:qFormat/>
    <w:uiPriority w:val="0"/>
    <w:rPr>
      <w:rFonts w:ascii="Tahoma" w:hAnsi="Tahoma" w:cs="Tahoma"/>
      <w:sz w:val="30"/>
      <w:szCs w:val="30"/>
    </w:rPr>
  </w:style>
  <w:style w:type="paragraph" w:customStyle="1" w:styleId="151">
    <w:name w:val="样式 标题 3h3H3sect1.2.3 + 五号 段前: 6 磅 段后: 6 磅 行距: 单倍行距"/>
    <w:basedOn w:val="6"/>
    <w:qFormat/>
    <w:uiPriority w:val="0"/>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52">
    <w:name w:val="Char Char4"/>
    <w:qFormat/>
    <w:uiPriority w:val="0"/>
    <w:rPr>
      <w:rFonts w:ascii="Times New Roman" w:hAnsi="Times New Roman"/>
      <w:kern w:val="2"/>
      <w:sz w:val="24"/>
      <w:szCs w:val="24"/>
    </w:rPr>
  </w:style>
  <w:style w:type="character" w:customStyle="1" w:styleId="153">
    <w:name w:val="Char Char3"/>
    <w:qFormat/>
    <w:uiPriority w:val="0"/>
    <w:rPr>
      <w:rFonts w:ascii="宋体" w:hAnsi="Times New Roman"/>
      <w:sz w:val="21"/>
    </w:rPr>
  </w:style>
  <w:style w:type="character" w:customStyle="1" w:styleId="154">
    <w:name w:val="HTML 预设格式 Char"/>
    <w:basedOn w:val="45"/>
    <w:link w:val="39"/>
    <w:qFormat/>
    <w:uiPriority w:val="0"/>
    <w:rPr>
      <w:rFonts w:ascii="黑体" w:hAnsi="Courier New" w:eastAsia="黑体" w:cs="Courier New"/>
      <w:kern w:val="0"/>
      <w:sz w:val="20"/>
      <w:szCs w:val="20"/>
    </w:rPr>
  </w:style>
  <w:style w:type="character" w:customStyle="1" w:styleId="155">
    <w:name w:val="Char Char"/>
    <w:qFormat/>
    <w:uiPriority w:val="0"/>
    <w:rPr>
      <w:rFonts w:ascii="Times New Roman" w:hAnsi="Times New Roman"/>
      <w:kern w:val="2"/>
      <w:sz w:val="16"/>
      <w:szCs w:val="16"/>
    </w:rPr>
  </w:style>
  <w:style w:type="paragraph" w:customStyle="1" w:styleId="156">
    <w:name w:val="Char1"/>
    <w:basedOn w:val="1"/>
    <w:qFormat/>
    <w:uiPriority w:val="0"/>
    <w:pPr>
      <w:widowControl/>
      <w:spacing w:after="160" w:line="240" w:lineRule="exact"/>
      <w:jc w:val="left"/>
    </w:pPr>
    <w:rPr>
      <w:sz w:val="24"/>
    </w:rPr>
  </w:style>
  <w:style w:type="paragraph" w:customStyle="1" w:styleId="157">
    <w:name w:val="默认段落字体 Para Char"/>
    <w:basedOn w:val="1"/>
    <w:qFormat/>
    <w:uiPriority w:val="0"/>
  </w:style>
  <w:style w:type="paragraph" w:customStyle="1" w:styleId="158">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9">
    <w:name w:val="TOC 标题1"/>
    <w:basedOn w:val="3"/>
    <w:next w:val="1"/>
    <w:qFormat/>
    <w:uiPriority w:val="0"/>
    <w:pPr>
      <w:widowControl/>
      <w:spacing w:before="480" w:after="0" w:line="276" w:lineRule="auto"/>
      <w:jc w:val="left"/>
      <w:outlineLvl w:val="9"/>
    </w:pPr>
    <w:rPr>
      <w:rFonts w:ascii="Cambria" w:hAnsi="Cambria"/>
      <w:color w:val="365F91"/>
      <w:kern w:val="0"/>
      <w:szCs w:val="28"/>
    </w:rPr>
  </w:style>
  <w:style w:type="paragraph" w:customStyle="1" w:styleId="16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62">
    <w:name w:val="Char Char2 Char"/>
    <w:basedOn w:val="1"/>
    <w:qFormat/>
    <w:uiPriority w:val="0"/>
    <w:rPr>
      <w:rFonts w:ascii="宋体" w:hAnsi="宋体"/>
      <w:b/>
      <w:sz w:val="28"/>
      <w:szCs w:val="28"/>
    </w:rPr>
  </w:style>
  <w:style w:type="character" w:customStyle="1" w:styleId="163">
    <w:name w:val="Char Char7"/>
    <w:qFormat/>
    <w:uiPriority w:val="0"/>
    <w:rPr>
      <w:rFonts w:ascii="Times New Roman" w:hAnsi="Times New Roman"/>
      <w:kern w:val="2"/>
      <w:sz w:val="21"/>
      <w:szCs w:val="21"/>
    </w:rPr>
  </w:style>
  <w:style w:type="paragraph" w:customStyle="1" w:styleId="164">
    <w:name w:val="Char2"/>
    <w:basedOn w:val="1"/>
    <w:qFormat/>
    <w:uiPriority w:val="0"/>
    <w:pPr>
      <w:widowControl/>
      <w:spacing w:after="160" w:line="240" w:lineRule="exact"/>
      <w:jc w:val="left"/>
    </w:pPr>
    <w:rPr>
      <w:szCs w:val="20"/>
    </w:rPr>
  </w:style>
  <w:style w:type="paragraph" w:customStyle="1" w:styleId="165">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66">
    <w:name w:val="明显参考1"/>
    <w:qFormat/>
    <w:uiPriority w:val="0"/>
    <w:rPr>
      <w:b/>
      <w:bCs/>
      <w:smallCaps/>
      <w:color w:val="C0504D"/>
      <w:spacing w:val="5"/>
      <w:u w:val="single"/>
    </w:rPr>
  </w:style>
  <w:style w:type="character" w:customStyle="1" w:styleId="167">
    <w:name w:val="Comment Text Char"/>
    <w:basedOn w:val="45"/>
    <w:qFormat/>
    <w:locked/>
    <w:uiPriority w:val="0"/>
    <w:rPr>
      <w:rFonts w:ascii="Times New Roman" w:hAnsi="Times New Roman" w:cs="Times New Roman"/>
      <w:kern w:val="2"/>
      <w:sz w:val="24"/>
      <w:szCs w:val="24"/>
    </w:rPr>
  </w:style>
  <w:style w:type="paragraph" w:customStyle="1" w:styleId="168">
    <w:name w:val="列出段落2"/>
    <w:basedOn w:val="1"/>
    <w:qFormat/>
    <w:uiPriority w:val="0"/>
    <w:pPr>
      <w:ind w:firstLine="420" w:firstLineChars="200"/>
    </w:pPr>
    <w:rPr>
      <w:rFonts w:ascii="Calibri" w:hAnsi="Calibri"/>
      <w:szCs w:val="22"/>
    </w:rPr>
  </w:style>
  <w:style w:type="paragraph" w:customStyle="1" w:styleId="16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70">
    <w:name w:val="样式5"/>
    <w:basedOn w:val="3"/>
    <w:next w:val="3"/>
    <w:qFormat/>
    <w:uiPriority w:val="0"/>
    <w:rPr>
      <w:rFonts w:asciiTheme="minorHAnsi" w:hAnsiTheme="minorHAnsi" w:eastAsiaTheme="minorEastAsia"/>
      <w:szCs w:val="30"/>
    </w:rPr>
  </w:style>
  <w:style w:type="table" w:customStyle="1" w:styleId="171">
    <w:name w:val="网格型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正文 New New New New New"/>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EDA79D-C01A-49A6-B41E-1A055F1FE51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13635</Words>
  <Characters>14454</Characters>
  <Lines>126</Lines>
  <Paragraphs>35</Paragraphs>
  <TotalTime>3</TotalTime>
  <ScaleCrop>false</ScaleCrop>
  <LinksUpToDate>false</LinksUpToDate>
  <CharactersWithSpaces>16307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2020-03-12T03:57:00Z</dcterms:created>
  <dc:creator>A</dc:creator>
  <cp:lastModifiedBy>i知道1</cp:lastModifiedBy>
  <cp:lastPrinted>2021-07-09T06:47:00Z</cp:lastPrinted>
  <dcterms:modified xsi:type="dcterms:W3CDTF">2023-07-07T02:30:58Z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8ED86B67A5284C2EBCEB4E9BAB49E918</vt:lpwstr>
  </property>
</Properties>
</file>